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E41A9" w14:textId="77777777" w:rsidR="00137545" w:rsidRPr="00CB6C68" w:rsidRDefault="00137545" w:rsidP="00137545">
      <w:pPr>
        <w:tabs>
          <w:tab w:val="left" w:pos="851"/>
        </w:tabs>
        <w:spacing w:after="0" w:line="240" w:lineRule="auto"/>
        <w:jc w:val="right"/>
        <w:rPr>
          <w:rFonts w:ascii="Times New Roman" w:eastAsia="Times New Roman" w:hAnsi="Times New Roman"/>
          <w:i/>
          <w:lang w:val="it-IT"/>
        </w:rPr>
      </w:pPr>
      <w:r w:rsidRPr="00CB6C68">
        <w:rPr>
          <w:rFonts w:ascii="Times New Roman" w:eastAsia="Times New Roman" w:hAnsi="Times New Roman"/>
          <w:i/>
          <w:lang w:val="it-IT"/>
        </w:rPr>
        <w:t xml:space="preserve">ANEXA </w:t>
      </w:r>
    </w:p>
    <w:p w14:paraId="6DF9E19C" w14:textId="77777777" w:rsidR="00137545" w:rsidRPr="00CB6C68" w:rsidRDefault="00137545" w:rsidP="00137545">
      <w:pPr>
        <w:spacing w:line="240" w:lineRule="auto"/>
        <w:jc w:val="right"/>
        <w:rPr>
          <w:lang w:val="it-IT"/>
        </w:rPr>
      </w:pPr>
      <w:r w:rsidRPr="00CB6C68">
        <w:rPr>
          <w:rFonts w:ascii="Times New Roman" w:eastAsia="Times New Roman" w:hAnsi="Times New Roman"/>
          <w:i/>
          <w:lang w:val="it-IT"/>
        </w:rPr>
        <w:t>la OMTI nr. .........din .....................</w:t>
      </w:r>
    </w:p>
    <w:p w14:paraId="6C9AE1CB" w14:textId="77777777" w:rsidR="00137545" w:rsidRPr="00137545" w:rsidRDefault="00137545">
      <w:pPr>
        <w:jc w:val="center"/>
        <w:rPr>
          <w:lang w:val="it-IT"/>
        </w:rPr>
      </w:pPr>
    </w:p>
    <w:p w14:paraId="5C567B87" w14:textId="391EC5E6" w:rsidR="005266D7" w:rsidRDefault="00000000">
      <w:pPr>
        <w:jc w:val="center"/>
        <w:rPr>
          <w:lang w:val="ro-RO"/>
        </w:rPr>
      </w:pPr>
      <w:r>
        <w:rPr>
          <w:lang w:val="ro-RO"/>
        </w:rPr>
        <w:t>ANEXA 10</w:t>
      </w:r>
    </w:p>
    <w:p w14:paraId="7CCDCD65" w14:textId="77777777" w:rsidR="005266D7" w:rsidRDefault="00000000">
      <w:pPr>
        <w:jc w:val="center"/>
        <w:rPr>
          <w:lang w:val="ro-RO"/>
        </w:rPr>
      </w:pPr>
      <w:r>
        <w:rPr>
          <w:lang w:val="ro-RO"/>
        </w:rPr>
        <w:t>REZOLUȚIA MSC.540(107)</w:t>
      </w:r>
    </w:p>
    <w:p w14:paraId="7E4D9658" w14:textId="2A4AEAB8" w:rsidR="005266D7" w:rsidRDefault="00000000">
      <w:pPr>
        <w:jc w:val="center"/>
        <w:rPr>
          <w:lang w:val="ro-RO"/>
        </w:rPr>
      </w:pPr>
      <w:r>
        <w:rPr>
          <w:lang w:val="ro-RO"/>
        </w:rPr>
        <w:t>(adoptat</w:t>
      </w:r>
      <w:r w:rsidR="005A255D">
        <w:rPr>
          <w:lang w:val="ro-RO"/>
        </w:rPr>
        <w:t>ă</w:t>
      </w:r>
      <w:r>
        <w:rPr>
          <w:lang w:val="ro-RO"/>
        </w:rPr>
        <w:t xml:space="preserve"> la 8 iunie 2023)</w:t>
      </w:r>
    </w:p>
    <w:p w14:paraId="355F48B6" w14:textId="201C2B26" w:rsidR="005266D7" w:rsidRDefault="00BB45C3" w:rsidP="005A255D">
      <w:pPr>
        <w:jc w:val="center"/>
        <w:rPr>
          <w:lang w:val="ro-RO"/>
        </w:rPr>
      </w:pPr>
      <w:r>
        <w:rPr>
          <w:lang w:val="ro-RO"/>
        </w:rPr>
        <w:t>AMENDAMENTE LA CONVENȚIA INTERNAȚIONALĂ DIN 1978 PRIVIND</w:t>
      </w:r>
      <w:r w:rsidR="005A255D" w:rsidRPr="00137545">
        <w:rPr>
          <w:lang w:val="it-IT"/>
        </w:rPr>
        <w:t xml:space="preserve"> </w:t>
      </w:r>
      <w:r w:rsidR="005A255D" w:rsidRPr="005A255D">
        <w:rPr>
          <w:lang w:val="ro-RO"/>
        </w:rPr>
        <w:t>PRIVIND STANDARDELE DE PREGĂTIRE A NAVIGATORILOR, BREVETARE/ATESTARE ŞI EFECTUARE A SERVICIULUI DE CART</w:t>
      </w:r>
      <w:r>
        <w:rPr>
          <w:lang w:val="ro-RO"/>
        </w:rPr>
        <w:t xml:space="preserve"> (STCW 1978)</w:t>
      </w:r>
    </w:p>
    <w:p w14:paraId="237549D5" w14:textId="77777777" w:rsidR="005266D7" w:rsidRDefault="005266D7">
      <w:pPr>
        <w:rPr>
          <w:lang w:val="ro-RO"/>
        </w:rPr>
      </w:pPr>
    </w:p>
    <w:p w14:paraId="659E3BF1" w14:textId="4E1E5D60" w:rsidR="005266D7" w:rsidRDefault="00A731B0">
      <w:pPr>
        <w:rPr>
          <w:lang w:val="ro-RO"/>
        </w:rPr>
      </w:pPr>
      <w:r>
        <w:rPr>
          <w:lang w:val="ro-RO"/>
        </w:rPr>
        <w:t>COMITETUL DE SIGURANŢĂ MARITIMĂ,</w:t>
      </w:r>
    </w:p>
    <w:p w14:paraId="026E80A8" w14:textId="256ECCE2" w:rsidR="005266D7" w:rsidRDefault="00A731B0" w:rsidP="00BB45C3">
      <w:pPr>
        <w:jc w:val="both"/>
        <w:rPr>
          <w:lang w:val="ro-RO"/>
        </w:rPr>
      </w:pPr>
      <w:r>
        <w:rPr>
          <w:lang w:val="ro-RO"/>
        </w:rPr>
        <w:t>AMINTIND</w:t>
      </w:r>
      <w:r w:rsidR="00BB45C3">
        <w:rPr>
          <w:lang w:val="ro-RO"/>
        </w:rPr>
        <w:t xml:space="preserve"> articolul 28(b) al Convenţiei privind crearea Organizaţiei Maritime Internaţionale referitor la funcţiile Comitetului,,</w:t>
      </w:r>
    </w:p>
    <w:p w14:paraId="644A5EA2" w14:textId="4C3035C7" w:rsidR="005266D7" w:rsidRDefault="00A731B0" w:rsidP="00BB45C3">
      <w:pPr>
        <w:jc w:val="both"/>
        <w:rPr>
          <w:lang w:val="ro-RO"/>
        </w:rPr>
      </w:pPr>
      <w:r>
        <w:rPr>
          <w:lang w:val="ro-RO"/>
        </w:rPr>
        <w:t>AMINTIND,</w:t>
      </w:r>
      <w:r w:rsidR="00BB45C3">
        <w:rPr>
          <w:lang w:val="ro-RO"/>
        </w:rPr>
        <w:t xml:space="preserve"> de asemenea, articolul XII şi regula I/1.2.3 din Convenţia internaţională din 1978 privind standardele de pregătire a navigatorilor, brevetare/atestare şi efectuare a serviciului de cart ("Convenţia STCW 1978"), referitor la procedurile de amendare a părţii A din Codul privind pregătirea, brevetarea/atestarea şi efectuarea serviciului de cart ("Codul STCW"),</w:t>
      </w:r>
    </w:p>
    <w:p w14:paraId="141D5023" w14:textId="443A35D5" w:rsidR="005266D7" w:rsidRDefault="00A731B0" w:rsidP="00BB45C3">
      <w:pPr>
        <w:jc w:val="both"/>
        <w:rPr>
          <w:lang w:val="ro-RO"/>
        </w:rPr>
      </w:pPr>
      <w:r>
        <w:rPr>
          <w:lang w:val="ro-RO"/>
        </w:rPr>
        <w:t xml:space="preserve">CONSTATÂND  necesitatea de a oferi un răspuns </w:t>
      </w:r>
      <w:r w:rsidR="00E261BA">
        <w:rPr>
          <w:lang w:val="ro-RO"/>
        </w:rPr>
        <w:t>prompt</w:t>
      </w:r>
      <w:r>
        <w:rPr>
          <w:lang w:val="ro-RO"/>
        </w:rPr>
        <w:t xml:space="preserve"> la tendința globală de digitalizare, precum și o soluție pentru gestionarea și controlul certificatelor navigatorilor eliberate în temeiul Convenți</w:t>
      </w:r>
      <w:r w:rsidR="00BB45C3">
        <w:rPr>
          <w:lang w:val="ro-RO"/>
        </w:rPr>
        <w:t>ei</w:t>
      </w:r>
      <w:r>
        <w:rPr>
          <w:lang w:val="ro-RO"/>
        </w:rPr>
        <w:t xml:space="preserve"> STCW din 1978;</w:t>
      </w:r>
    </w:p>
    <w:p w14:paraId="43980CAE" w14:textId="359961F3" w:rsidR="005266D7" w:rsidRDefault="00A731B0" w:rsidP="00BB45C3">
      <w:pPr>
        <w:jc w:val="both"/>
        <w:rPr>
          <w:lang w:val="ro-RO"/>
        </w:rPr>
      </w:pPr>
      <w:r>
        <w:rPr>
          <w:lang w:val="ro-RO"/>
        </w:rPr>
        <w:t>LUÂND ÎN CONSIDERARE, în cadrul celei de-a 107-a sesiuni a sa, amendamentele la partea A din Codul STCW, propuse şi difuzate în conformitate cu articolul XII(1)(a)(i) din Convenţia STCW 1978,</w:t>
      </w:r>
    </w:p>
    <w:p w14:paraId="3B2B515E" w14:textId="78E61DEF" w:rsidR="005266D7" w:rsidRDefault="00A731B0">
      <w:pPr>
        <w:pStyle w:val="ListParagraph"/>
        <w:numPr>
          <w:ilvl w:val="0"/>
          <w:numId w:val="1"/>
        </w:numPr>
        <w:jc w:val="both"/>
        <w:rPr>
          <w:lang w:val="ro-RO"/>
        </w:rPr>
      </w:pPr>
      <w:r>
        <w:rPr>
          <w:lang w:val="ro-RO"/>
        </w:rPr>
        <w:t>ADOPTĂ, în conformitate cu articolul XII (1) (a) (iv) din Convenţia STCW 1978, amendamentele la Codul STCW, al căror text este prevăzut în anexa la prezenta rezoluţie</w:t>
      </w:r>
    </w:p>
    <w:p w14:paraId="07DD5B0B" w14:textId="2ED7056E" w:rsidR="005266D7" w:rsidRPr="00137545" w:rsidRDefault="00A731B0">
      <w:pPr>
        <w:pStyle w:val="ListParagraph"/>
        <w:numPr>
          <w:ilvl w:val="0"/>
          <w:numId w:val="1"/>
        </w:numPr>
        <w:jc w:val="both"/>
        <w:rPr>
          <w:lang w:val="it-IT"/>
        </w:rPr>
      </w:pPr>
      <w:r w:rsidRPr="00137545">
        <w:rPr>
          <w:lang w:val="it-IT"/>
        </w:rPr>
        <w:t>STABILEŞTE, în conformitate cu articolul XII (1) (a) (vii) (2) din Convenţia STCW 1978, că respectivele amendamente la Codul STCW se vor considera ca fiind acceptate la 1 iulie 2024, cu excepţia cazului în care până la această dată mai mult de o treime din părţi sau părţile ale căror flote comerciale reprezintă în total nu mai puţin de 50% din tonajul brut al flotei comerciale mondiale de nave de 100 de tone sau mai mult au notificat secretarului general al Organizaţiei obiecţiile lor la aceste amendamente;</w:t>
      </w:r>
    </w:p>
    <w:p w14:paraId="51FA6AF2" w14:textId="77777777" w:rsidR="005266D7" w:rsidRPr="00137545" w:rsidRDefault="00000000">
      <w:pPr>
        <w:pStyle w:val="ListParagraph"/>
        <w:numPr>
          <w:ilvl w:val="0"/>
          <w:numId w:val="1"/>
        </w:numPr>
        <w:jc w:val="both"/>
        <w:rPr>
          <w:lang w:val="it-IT"/>
        </w:rPr>
      </w:pPr>
      <w:r>
        <w:rPr>
          <w:lang w:val="ro-RO"/>
        </w:rPr>
        <w:lastRenderedPageBreak/>
        <w:t>INVITĂ părțile să ia act de faptul că, în conformitate cu articolul XII alineatul (1) litera (a) punctul (ix) din Convenția STCW din 1978, amendamentele anexate la prezenta convenție intră în vigoare la 1 ianuarie 2025 la data de acceptarea lor, în conformitate cu paragraful 2 de mai sus</w:t>
      </w:r>
    </w:p>
    <w:p w14:paraId="0EE5975D" w14:textId="0B0D30AA" w:rsidR="005266D7" w:rsidRPr="00137545" w:rsidRDefault="00A731B0">
      <w:pPr>
        <w:pStyle w:val="ListParagraph"/>
        <w:numPr>
          <w:ilvl w:val="0"/>
          <w:numId w:val="1"/>
        </w:numPr>
        <w:jc w:val="both"/>
        <w:rPr>
          <w:lang w:val="it-IT"/>
        </w:rPr>
      </w:pPr>
      <w:r w:rsidRPr="00137545">
        <w:rPr>
          <w:lang w:val="it-IT"/>
        </w:rPr>
        <w:t xml:space="preserve"> ÎNDEAMNĂ părțile să implementeze amendamentele la secțiunea A-I/2 din Codul STCW într-un stadiu incipient;</w:t>
      </w:r>
    </w:p>
    <w:p w14:paraId="18EC8F46" w14:textId="5C083CFE" w:rsidR="005266D7" w:rsidRPr="00137545" w:rsidRDefault="00A731B0">
      <w:pPr>
        <w:pStyle w:val="ListParagraph"/>
        <w:numPr>
          <w:ilvl w:val="0"/>
          <w:numId w:val="1"/>
        </w:numPr>
        <w:jc w:val="both"/>
        <w:rPr>
          <w:lang w:val="it-IT"/>
        </w:rPr>
      </w:pPr>
      <w:r w:rsidRPr="00137545">
        <w:rPr>
          <w:lang w:val="it-IT"/>
        </w:rPr>
        <w:t>SOLICITĂ secretarului general, în conformitate cu articolul XII alineatul (1) litera (a) punctul (v) din 1978 Convenția STCW, să transmită copii certificate ale prezentei rezoluții și ale textului amendamentelor cuprinse în anexă tuturor părţilor la Convenția STCW din 1978;</w:t>
      </w:r>
    </w:p>
    <w:p w14:paraId="464124A8" w14:textId="2A5C36AD" w:rsidR="005266D7" w:rsidRPr="00137545" w:rsidRDefault="00A731B0">
      <w:pPr>
        <w:pStyle w:val="ListParagraph"/>
        <w:numPr>
          <w:ilvl w:val="0"/>
          <w:numId w:val="1"/>
        </w:numPr>
        <w:jc w:val="both"/>
        <w:rPr>
          <w:lang w:val="it-IT"/>
        </w:rPr>
      </w:pPr>
      <w:r w:rsidRPr="00137545">
        <w:rPr>
          <w:lang w:val="it-IT"/>
        </w:rPr>
        <w:t>SOLICITĂ, de asemenea, Secretarului General să transmită copii ale acestei rezoluţii şi ale anexei sale membrilor Organizaţiei care nu sunt părţi la Convenţia STCW 1978.</w:t>
      </w:r>
    </w:p>
    <w:p w14:paraId="4C280BA9" w14:textId="77777777" w:rsidR="005266D7" w:rsidRPr="00137545" w:rsidRDefault="005266D7">
      <w:pPr>
        <w:jc w:val="both"/>
        <w:rPr>
          <w:lang w:val="it-IT"/>
        </w:rPr>
      </w:pPr>
    </w:p>
    <w:p w14:paraId="375428F0" w14:textId="77777777" w:rsidR="005266D7" w:rsidRPr="00137545" w:rsidRDefault="005266D7">
      <w:pPr>
        <w:jc w:val="both"/>
        <w:rPr>
          <w:lang w:val="it-IT"/>
        </w:rPr>
      </w:pPr>
    </w:p>
    <w:p w14:paraId="32B35129" w14:textId="77777777" w:rsidR="005266D7" w:rsidRPr="00137545" w:rsidRDefault="005266D7">
      <w:pPr>
        <w:jc w:val="both"/>
        <w:rPr>
          <w:lang w:val="it-IT"/>
        </w:rPr>
      </w:pPr>
    </w:p>
    <w:p w14:paraId="243D60CC" w14:textId="77777777" w:rsidR="005266D7" w:rsidRPr="00137545" w:rsidRDefault="005266D7">
      <w:pPr>
        <w:jc w:val="both"/>
        <w:rPr>
          <w:lang w:val="it-IT"/>
        </w:rPr>
      </w:pPr>
    </w:p>
    <w:p w14:paraId="61B72FD9" w14:textId="77777777" w:rsidR="005266D7" w:rsidRPr="00137545" w:rsidRDefault="005266D7">
      <w:pPr>
        <w:jc w:val="both"/>
        <w:rPr>
          <w:lang w:val="it-IT"/>
        </w:rPr>
      </w:pPr>
    </w:p>
    <w:p w14:paraId="4BB38B72" w14:textId="77777777" w:rsidR="005266D7" w:rsidRPr="00137545" w:rsidRDefault="005266D7">
      <w:pPr>
        <w:jc w:val="both"/>
        <w:rPr>
          <w:lang w:val="it-IT"/>
        </w:rPr>
      </w:pPr>
    </w:p>
    <w:p w14:paraId="41F978AB" w14:textId="77777777" w:rsidR="005266D7" w:rsidRPr="00137545" w:rsidRDefault="005266D7">
      <w:pPr>
        <w:jc w:val="both"/>
        <w:rPr>
          <w:lang w:val="it-IT"/>
        </w:rPr>
      </w:pPr>
    </w:p>
    <w:p w14:paraId="1A971350" w14:textId="77777777" w:rsidR="005266D7" w:rsidRPr="00137545" w:rsidRDefault="005266D7">
      <w:pPr>
        <w:jc w:val="both"/>
        <w:rPr>
          <w:lang w:val="it-IT"/>
        </w:rPr>
      </w:pPr>
    </w:p>
    <w:p w14:paraId="30CC99B6" w14:textId="77777777" w:rsidR="005266D7" w:rsidRPr="00137545" w:rsidRDefault="005266D7">
      <w:pPr>
        <w:jc w:val="both"/>
        <w:rPr>
          <w:lang w:val="it-IT"/>
        </w:rPr>
      </w:pPr>
    </w:p>
    <w:p w14:paraId="3431B70E" w14:textId="77777777" w:rsidR="005266D7" w:rsidRPr="00137545" w:rsidRDefault="005266D7">
      <w:pPr>
        <w:jc w:val="both"/>
        <w:rPr>
          <w:lang w:val="it-IT"/>
        </w:rPr>
      </w:pPr>
    </w:p>
    <w:p w14:paraId="7248690D" w14:textId="77777777" w:rsidR="005266D7" w:rsidRPr="00137545" w:rsidRDefault="005266D7">
      <w:pPr>
        <w:jc w:val="both"/>
        <w:rPr>
          <w:lang w:val="it-IT"/>
        </w:rPr>
      </w:pPr>
    </w:p>
    <w:p w14:paraId="5EF3172D" w14:textId="77777777" w:rsidR="005266D7" w:rsidRPr="00137545" w:rsidRDefault="005266D7">
      <w:pPr>
        <w:jc w:val="both"/>
        <w:rPr>
          <w:lang w:val="it-IT"/>
        </w:rPr>
      </w:pPr>
    </w:p>
    <w:p w14:paraId="2ECCF224" w14:textId="77777777" w:rsidR="005266D7" w:rsidRPr="00137545" w:rsidRDefault="005266D7">
      <w:pPr>
        <w:jc w:val="both"/>
        <w:rPr>
          <w:lang w:val="it-IT"/>
        </w:rPr>
      </w:pPr>
    </w:p>
    <w:p w14:paraId="07720BEC" w14:textId="77777777" w:rsidR="005266D7" w:rsidRPr="00137545" w:rsidRDefault="005266D7">
      <w:pPr>
        <w:jc w:val="both"/>
        <w:rPr>
          <w:lang w:val="it-IT"/>
        </w:rPr>
      </w:pPr>
    </w:p>
    <w:p w14:paraId="3D402318" w14:textId="77777777" w:rsidR="005266D7" w:rsidRPr="00137545" w:rsidRDefault="005266D7">
      <w:pPr>
        <w:jc w:val="both"/>
        <w:rPr>
          <w:lang w:val="it-IT"/>
        </w:rPr>
      </w:pPr>
    </w:p>
    <w:p w14:paraId="608F18B2" w14:textId="77777777" w:rsidR="005266D7" w:rsidRPr="00137545" w:rsidRDefault="005266D7">
      <w:pPr>
        <w:jc w:val="both"/>
        <w:rPr>
          <w:lang w:val="it-IT"/>
        </w:rPr>
      </w:pPr>
    </w:p>
    <w:p w14:paraId="6CB361B8" w14:textId="77777777" w:rsidR="005266D7" w:rsidRPr="00137545" w:rsidRDefault="005266D7">
      <w:pPr>
        <w:jc w:val="both"/>
        <w:rPr>
          <w:lang w:val="it-IT"/>
        </w:rPr>
      </w:pPr>
    </w:p>
    <w:p w14:paraId="38B8AFC1" w14:textId="77777777" w:rsidR="005266D7" w:rsidRPr="00137545" w:rsidRDefault="005266D7">
      <w:pPr>
        <w:jc w:val="both"/>
        <w:rPr>
          <w:lang w:val="it-IT"/>
        </w:rPr>
      </w:pPr>
    </w:p>
    <w:p w14:paraId="203B45C6" w14:textId="77777777" w:rsidR="005266D7" w:rsidRPr="00137545" w:rsidRDefault="005266D7">
      <w:pPr>
        <w:jc w:val="both"/>
        <w:rPr>
          <w:lang w:val="it-IT"/>
        </w:rPr>
      </w:pPr>
    </w:p>
    <w:p w14:paraId="1CF07B6C" w14:textId="77777777" w:rsidR="005266D7" w:rsidRPr="00137545" w:rsidRDefault="005266D7">
      <w:pPr>
        <w:jc w:val="both"/>
        <w:rPr>
          <w:lang w:val="it-IT"/>
        </w:rPr>
      </w:pPr>
    </w:p>
    <w:p w14:paraId="50BBA471" w14:textId="77777777" w:rsidR="005266D7" w:rsidRDefault="00000000">
      <w:pPr>
        <w:jc w:val="center"/>
      </w:pPr>
      <w:r>
        <w:t>ANEXĂ</w:t>
      </w:r>
    </w:p>
    <w:p w14:paraId="293ABB71" w14:textId="16822F0D" w:rsidR="005266D7" w:rsidRPr="00137545" w:rsidRDefault="00000000" w:rsidP="00BB45C3">
      <w:pPr>
        <w:jc w:val="center"/>
        <w:rPr>
          <w:lang w:val="it-IT"/>
        </w:rPr>
      </w:pPr>
      <w:r w:rsidRPr="00137545">
        <w:rPr>
          <w:lang w:val="it-IT"/>
        </w:rPr>
        <w:t xml:space="preserve">AMENDAMNETE  </w:t>
      </w:r>
      <w:r w:rsidR="00BB45C3" w:rsidRPr="00137545">
        <w:rPr>
          <w:lang w:val="it-IT"/>
        </w:rPr>
        <w:t>LA CONVENȚIA INTERNAȚIONALĂ  din 1978 PRIVIND  STANDARDELE DE PREGĂTIRE A NAVIGATORILOR, BREVETARE/ATESTARE ŞI EFECTUARE A SERVICIULUI DE CART (STCW) 1978</w:t>
      </w:r>
    </w:p>
    <w:p w14:paraId="4D3596D9" w14:textId="77777777" w:rsidR="005266D7" w:rsidRPr="00137545" w:rsidRDefault="00000000" w:rsidP="00E261BA">
      <w:pPr>
        <w:jc w:val="center"/>
        <w:rPr>
          <w:lang w:val="it-IT"/>
        </w:rPr>
      </w:pPr>
      <w:r w:rsidRPr="00137545">
        <w:rPr>
          <w:lang w:val="it-IT"/>
        </w:rPr>
        <w:t>CAPITOLUL I</w:t>
      </w:r>
    </w:p>
    <w:p w14:paraId="1BE8D089" w14:textId="77777777" w:rsidR="005266D7" w:rsidRPr="00137545" w:rsidRDefault="00000000" w:rsidP="00E261BA">
      <w:pPr>
        <w:jc w:val="center"/>
        <w:rPr>
          <w:lang w:val="it-IT"/>
        </w:rPr>
      </w:pPr>
      <w:r w:rsidRPr="00137545">
        <w:rPr>
          <w:lang w:val="it-IT"/>
        </w:rPr>
        <w:t>DISPOZIȚII GENERALE</w:t>
      </w:r>
    </w:p>
    <w:p w14:paraId="4D94D91B" w14:textId="77777777" w:rsidR="005266D7" w:rsidRPr="00137545" w:rsidRDefault="00000000">
      <w:pPr>
        <w:jc w:val="both"/>
        <w:rPr>
          <w:b/>
          <w:bCs/>
          <w:lang w:val="it-IT"/>
        </w:rPr>
      </w:pPr>
      <w:r w:rsidRPr="00137545">
        <w:rPr>
          <w:b/>
          <w:bCs/>
          <w:lang w:val="it-IT"/>
        </w:rPr>
        <w:t>Regula I/1</w:t>
      </w:r>
    </w:p>
    <w:p w14:paraId="6259C9A2" w14:textId="77777777" w:rsidR="005266D7" w:rsidRPr="00137545" w:rsidRDefault="00000000">
      <w:pPr>
        <w:jc w:val="both"/>
        <w:rPr>
          <w:i/>
          <w:iCs/>
          <w:lang w:val="it-IT"/>
        </w:rPr>
      </w:pPr>
      <w:r w:rsidRPr="00137545">
        <w:rPr>
          <w:i/>
          <w:iCs/>
          <w:lang w:val="it-IT"/>
        </w:rPr>
        <w:t>Definiții și precizări</w:t>
      </w:r>
    </w:p>
    <w:p w14:paraId="29992A1D" w14:textId="77777777" w:rsidR="005266D7" w:rsidRPr="00137545" w:rsidRDefault="00000000">
      <w:pPr>
        <w:jc w:val="both"/>
        <w:rPr>
          <w:lang w:val="it-IT"/>
        </w:rPr>
      </w:pPr>
      <w:r w:rsidRPr="00137545">
        <w:rPr>
          <w:lang w:val="it-IT"/>
        </w:rPr>
        <w:t>La paragraful 1, se adaugă următoarea definiție nouă după subparagraful .44 existent:</w:t>
      </w:r>
    </w:p>
    <w:p w14:paraId="73F16157" w14:textId="0DEFDA67" w:rsidR="005266D7" w:rsidRPr="00137545" w:rsidRDefault="00000000">
      <w:pPr>
        <w:jc w:val="both"/>
        <w:rPr>
          <w:lang w:val="it-IT"/>
        </w:rPr>
      </w:pPr>
      <w:r w:rsidRPr="00137545">
        <w:rPr>
          <w:lang w:val="it-IT"/>
        </w:rPr>
        <w:t xml:space="preserve">„.45 </w:t>
      </w:r>
      <w:r w:rsidRPr="00137545">
        <w:rPr>
          <w:i/>
          <w:iCs/>
          <w:lang w:val="it-IT"/>
        </w:rPr>
        <w:t>Formular original</w:t>
      </w:r>
      <w:r w:rsidRPr="00137545">
        <w:rPr>
          <w:lang w:val="it-IT"/>
        </w:rPr>
        <w:t xml:space="preserve"> înseamnă un formular în format de hârtie sau în format  electronic a oricărui certificat necesar prin Convenție, emis în formatul aprobat de Administrație, cu condiția ca informațiile minime, astfel cum sunt cerute la paragraful 4 al secțiun</w:t>
      </w:r>
      <w:r w:rsidR="00E261BA" w:rsidRPr="00137545">
        <w:rPr>
          <w:lang w:val="it-IT"/>
        </w:rPr>
        <w:t>ii</w:t>
      </w:r>
      <w:r w:rsidRPr="00137545">
        <w:rPr>
          <w:lang w:val="it-IT"/>
        </w:rPr>
        <w:t xml:space="preserve"> A-I/2 din Codul STCW, să fie uşor accesibile.”</w:t>
      </w:r>
    </w:p>
    <w:p w14:paraId="6B16BC05" w14:textId="77777777" w:rsidR="005266D7" w:rsidRPr="00137545" w:rsidRDefault="00000000">
      <w:pPr>
        <w:jc w:val="both"/>
        <w:rPr>
          <w:b/>
          <w:bCs/>
          <w:lang w:val="it-IT"/>
        </w:rPr>
      </w:pPr>
      <w:r w:rsidRPr="00137545">
        <w:rPr>
          <w:b/>
          <w:bCs/>
          <w:lang w:val="it-IT"/>
        </w:rPr>
        <w:t>Regula I/2</w:t>
      </w:r>
    </w:p>
    <w:p w14:paraId="6237EDF9" w14:textId="31E00E46" w:rsidR="005266D7" w:rsidRPr="00137545" w:rsidRDefault="00000000">
      <w:pPr>
        <w:jc w:val="both"/>
        <w:rPr>
          <w:i/>
          <w:iCs/>
          <w:lang w:val="it-IT"/>
        </w:rPr>
      </w:pPr>
      <w:r w:rsidRPr="00137545">
        <w:rPr>
          <w:i/>
          <w:iCs/>
          <w:lang w:val="it-IT"/>
        </w:rPr>
        <w:t xml:space="preserve">Certificate și </w:t>
      </w:r>
      <w:r w:rsidR="00E261BA" w:rsidRPr="00137545">
        <w:rPr>
          <w:i/>
          <w:iCs/>
          <w:lang w:val="it-IT"/>
        </w:rPr>
        <w:t>atestate</w:t>
      </w:r>
    </w:p>
    <w:p w14:paraId="16B14180" w14:textId="77777777" w:rsidR="005266D7" w:rsidRPr="00137545" w:rsidRDefault="00000000">
      <w:pPr>
        <w:jc w:val="both"/>
        <w:rPr>
          <w:lang w:val="it-IT"/>
        </w:rPr>
      </w:pPr>
      <w:r w:rsidRPr="00137545">
        <w:rPr>
          <w:lang w:val="it-IT"/>
        </w:rPr>
        <w:t xml:space="preserve">2 Alineatul 11 </w:t>
      </w:r>
      <w:r w:rsidRPr="00137545">
        <w:rPr>
          <w:rFonts w:ascii="Arial" w:hAnsi="Arial" w:cs="Arial"/>
          <w:lang w:val="it-IT"/>
        </w:rPr>
        <w:t>​​</w:t>
      </w:r>
      <w:r w:rsidRPr="00137545">
        <w:rPr>
          <w:lang w:val="it-IT"/>
        </w:rPr>
        <w:t xml:space="preserve">se </w:t>
      </w:r>
      <w:r w:rsidRPr="00137545">
        <w:rPr>
          <w:rFonts w:cs="Aptos"/>
          <w:lang w:val="it-IT"/>
        </w:rPr>
        <w:t>î</w:t>
      </w:r>
      <w:r w:rsidRPr="00137545">
        <w:rPr>
          <w:lang w:val="it-IT"/>
        </w:rPr>
        <w:t>nlocuie</w:t>
      </w:r>
      <w:r w:rsidRPr="00137545">
        <w:rPr>
          <w:rFonts w:cs="Aptos"/>
          <w:lang w:val="it-IT"/>
        </w:rPr>
        <w:t>ș</w:t>
      </w:r>
      <w:r w:rsidRPr="00137545">
        <w:rPr>
          <w:lang w:val="it-IT"/>
        </w:rPr>
        <w:t>te cu urm</w:t>
      </w:r>
      <w:r w:rsidRPr="00137545">
        <w:rPr>
          <w:rFonts w:cs="Aptos"/>
          <w:lang w:val="it-IT"/>
        </w:rPr>
        <w:t>ă</w:t>
      </w:r>
      <w:r w:rsidRPr="00137545">
        <w:rPr>
          <w:lang w:val="it-IT"/>
        </w:rPr>
        <w:t xml:space="preserve">torul text, </w:t>
      </w:r>
      <w:r w:rsidRPr="00137545">
        <w:rPr>
          <w:rFonts w:cs="Aptos"/>
          <w:lang w:val="it-IT"/>
        </w:rPr>
        <w:t>î</w:t>
      </w:r>
      <w:r w:rsidRPr="00137545">
        <w:rPr>
          <w:lang w:val="it-IT"/>
        </w:rPr>
        <w:t>mpreun</w:t>
      </w:r>
      <w:r w:rsidRPr="00137545">
        <w:rPr>
          <w:rFonts w:cs="Aptos"/>
          <w:lang w:val="it-IT"/>
        </w:rPr>
        <w:t>ă</w:t>
      </w:r>
      <w:r w:rsidRPr="00137545">
        <w:rPr>
          <w:lang w:val="it-IT"/>
        </w:rPr>
        <w:t xml:space="preserve"> cu nota de subsol asociat</w:t>
      </w:r>
      <w:r w:rsidRPr="00137545">
        <w:rPr>
          <w:rFonts w:cs="Aptos"/>
          <w:lang w:val="it-IT"/>
        </w:rPr>
        <w:t>ă</w:t>
      </w:r>
      <w:r w:rsidRPr="00137545">
        <w:rPr>
          <w:lang w:val="it-IT"/>
        </w:rPr>
        <w:t>:</w:t>
      </w:r>
    </w:p>
    <w:p w14:paraId="292A8F63" w14:textId="18025F66" w:rsidR="005266D7" w:rsidRPr="00137545" w:rsidRDefault="00000000">
      <w:pPr>
        <w:jc w:val="both"/>
        <w:rPr>
          <w:lang w:val="it-IT"/>
        </w:rPr>
      </w:pPr>
      <w:r w:rsidRPr="00137545">
        <w:rPr>
          <w:lang w:val="it-IT"/>
        </w:rPr>
        <w:t xml:space="preserve">„11 Sub rezerva prevederilor regulamentului I/10, paragraful 5, orice certificate cerute de convenție trebuie să fie păstrate </w:t>
      </w:r>
      <w:r w:rsidR="00E261BA" w:rsidRPr="00137545">
        <w:rPr>
          <w:lang w:val="it-IT"/>
        </w:rPr>
        <w:t xml:space="preserve">în formă </w:t>
      </w:r>
      <w:r w:rsidRPr="00137545">
        <w:rPr>
          <w:lang w:val="it-IT"/>
        </w:rPr>
        <w:t xml:space="preserve">originală la bordul navei </w:t>
      </w:r>
      <w:r w:rsidR="00E261BA" w:rsidRPr="00137545">
        <w:rPr>
          <w:lang w:val="it-IT"/>
        </w:rPr>
        <w:t xml:space="preserve">pe </w:t>
      </w:r>
      <w:r w:rsidRPr="00137545">
        <w:rPr>
          <w:lang w:val="it-IT"/>
        </w:rPr>
        <w:t xml:space="preserve">care deținătorul </w:t>
      </w:r>
      <w:r w:rsidR="00E261BA" w:rsidRPr="00137545">
        <w:rPr>
          <w:lang w:val="it-IT"/>
        </w:rPr>
        <w:t>execută serviciul la bord</w:t>
      </w:r>
      <w:r w:rsidRPr="00137545">
        <w:rPr>
          <w:lang w:val="it-IT"/>
        </w:rPr>
        <w:t>. Dacă se folosește un formular electronic</w:t>
      </w:r>
      <w:r w:rsidR="00B1742E">
        <w:rPr>
          <w:rStyle w:val="FootnoteReference"/>
        </w:rPr>
        <w:sym w:font="Symbol" w:char="F02A"/>
      </w:r>
      <w:r w:rsidRPr="00137545">
        <w:rPr>
          <w:lang w:val="it-IT"/>
        </w:rPr>
        <w:t xml:space="preserve">, datele </w:t>
      </w:r>
      <w:r w:rsidR="00E261BA" w:rsidRPr="00137545">
        <w:rPr>
          <w:lang w:val="it-IT"/>
        </w:rPr>
        <w:t xml:space="preserve">minim </w:t>
      </w:r>
      <w:r w:rsidRPr="00137545">
        <w:rPr>
          <w:lang w:val="it-IT"/>
        </w:rPr>
        <w:t xml:space="preserve">necesare trebuie să fie accesibile așa cum este definit de Administrație în conformitate cu Codul STCW, </w:t>
      </w:r>
      <w:r w:rsidR="00E261BA" w:rsidRPr="00137545">
        <w:rPr>
          <w:lang w:val="it-IT"/>
        </w:rPr>
        <w:t xml:space="preserve">care sunt </w:t>
      </w:r>
      <w:r w:rsidRPr="00137545">
        <w:rPr>
          <w:lang w:val="it-IT"/>
        </w:rPr>
        <w:t>necesar</w:t>
      </w:r>
      <w:r w:rsidR="00E261BA" w:rsidRPr="00137545">
        <w:rPr>
          <w:lang w:val="it-IT"/>
        </w:rPr>
        <w:t>e</w:t>
      </w:r>
      <w:r w:rsidRPr="00137545">
        <w:rPr>
          <w:lang w:val="it-IT"/>
        </w:rPr>
        <w:t xml:space="preserve"> pentru inițierea unei proceduri de verificare.</w:t>
      </w:r>
    </w:p>
    <w:p w14:paraId="17E9C81D" w14:textId="77777777" w:rsidR="00B1742E" w:rsidRPr="00137545" w:rsidRDefault="00B1742E" w:rsidP="00B1742E">
      <w:pPr>
        <w:rPr>
          <w:lang w:val="it-IT"/>
        </w:rPr>
      </w:pPr>
    </w:p>
    <w:p w14:paraId="1175CF29" w14:textId="77777777" w:rsidR="00B1742E" w:rsidRPr="00137545" w:rsidRDefault="00B1742E" w:rsidP="00B1742E">
      <w:pPr>
        <w:rPr>
          <w:lang w:val="it-IT"/>
        </w:rPr>
      </w:pPr>
    </w:p>
    <w:p w14:paraId="5BB81FCE" w14:textId="77777777" w:rsidR="00B1742E" w:rsidRPr="00137545" w:rsidRDefault="00B1742E" w:rsidP="00B1742E">
      <w:pPr>
        <w:rPr>
          <w:lang w:val="it-IT"/>
        </w:rPr>
      </w:pPr>
    </w:p>
    <w:p w14:paraId="0D724F01" w14:textId="77777777" w:rsidR="00B1742E" w:rsidRPr="00137545" w:rsidRDefault="00B1742E" w:rsidP="00B1742E">
      <w:pPr>
        <w:rPr>
          <w:lang w:val="it-IT"/>
        </w:rPr>
      </w:pPr>
    </w:p>
    <w:p w14:paraId="390A3DD5" w14:textId="77777777" w:rsidR="00B1742E" w:rsidRPr="00137545" w:rsidRDefault="00B1742E" w:rsidP="00B1742E">
      <w:pPr>
        <w:rPr>
          <w:lang w:val="it-IT"/>
        </w:rPr>
      </w:pPr>
    </w:p>
    <w:p w14:paraId="7A7BAE15" w14:textId="77777777" w:rsidR="00B1742E" w:rsidRPr="00137545" w:rsidRDefault="00B1742E" w:rsidP="00B1742E">
      <w:pPr>
        <w:rPr>
          <w:lang w:val="it-IT"/>
        </w:rPr>
      </w:pPr>
    </w:p>
    <w:p w14:paraId="206A9F87" w14:textId="6AB0AF8D" w:rsidR="00B1742E" w:rsidRPr="00137545" w:rsidRDefault="00B1742E" w:rsidP="00B1742E">
      <w:pPr>
        <w:rPr>
          <w:u w:val="single"/>
          <w:lang w:val="it-IT"/>
        </w:rPr>
      </w:pPr>
      <w:r w:rsidRPr="00137545">
        <w:rPr>
          <w:u w:val="single"/>
          <w:lang w:val="it-IT"/>
        </w:rPr>
        <w:lastRenderedPageBreak/>
        <w:tab/>
      </w:r>
      <w:r w:rsidRPr="00137545">
        <w:rPr>
          <w:u w:val="single"/>
          <w:lang w:val="it-IT"/>
        </w:rPr>
        <w:tab/>
      </w:r>
      <w:r w:rsidRPr="00137545">
        <w:rPr>
          <w:u w:val="single"/>
          <w:lang w:val="it-IT"/>
        </w:rPr>
        <w:tab/>
      </w:r>
      <w:r w:rsidRPr="00137545">
        <w:rPr>
          <w:u w:val="single"/>
          <w:lang w:val="it-IT"/>
        </w:rPr>
        <w:tab/>
      </w:r>
      <w:r w:rsidRPr="00137545">
        <w:rPr>
          <w:u w:val="single"/>
          <w:lang w:val="it-IT"/>
        </w:rPr>
        <w:tab/>
      </w:r>
    </w:p>
    <w:p w14:paraId="4A141C49" w14:textId="0AA5768F" w:rsidR="00B1742E" w:rsidRPr="00B1742E" w:rsidRDefault="00B1742E" w:rsidP="00B1742E">
      <w:pPr>
        <w:rPr>
          <w:sz w:val="18"/>
          <w:szCs w:val="18"/>
        </w:rPr>
      </w:pPr>
      <w:r w:rsidRPr="00B1742E">
        <w:rPr>
          <w:sz w:val="18"/>
          <w:szCs w:val="18"/>
          <w:vertAlign w:val="superscript"/>
        </w:rPr>
        <w:sym w:font="Symbol" w:char="F02A"/>
      </w:r>
      <w:r w:rsidRPr="00B1742E">
        <w:rPr>
          <w:sz w:val="18"/>
          <w:szCs w:val="18"/>
        </w:rPr>
        <w:t xml:space="preserve"> </w:t>
      </w:r>
      <w:r w:rsidRPr="00B1742E">
        <w:rPr>
          <w:sz w:val="20"/>
          <w:szCs w:val="20"/>
        </w:rPr>
        <w:t>Vezi</w:t>
      </w:r>
      <w:r w:rsidRPr="00B1742E">
        <w:rPr>
          <w:sz w:val="18"/>
          <w:szCs w:val="18"/>
        </w:rPr>
        <w:t xml:space="preserve"> </w:t>
      </w:r>
      <w:proofErr w:type="spellStart"/>
      <w:r w:rsidRPr="00B1742E">
        <w:rPr>
          <w:sz w:val="18"/>
          <w:szCs w:val="18"/>
        </w:rPr>
        <w:t>Linii</w:t>
      </w:r>
      <w:proofErr w:type="spellEnd"/>
      <w:r w:rsidRPr="00B1742E">
        <w:rPr>
          <w:sz w:val="18"/>
          <w:szCs w:val="18"/>
        </w:rPr>
        <w:t xml:space="preserve"> </w:t>
      </w:r>
      <w:proofErr w:type="spellStart"/>
      <w:r w:rsidRPr="00B1742E">
        <w:rPr>
          <w:sz w:val="18"/>
          <w:szCs w:val="18"/>
        </w:rPr>
        <w:t>directoare</w:t>
      </w:r>
      <w:proofErr w:type="spellEnd"/>
      <w:r w:rsidRPr="00B1742E">
        <w:rPr>
          <w:sz w:val="18"/>
          <w:szCs w:val="18"/>
        </w:rPr>
        <w:t xml:space="preserve"> </w:t>
      </w:r>
      <w:proofErr w:type="spellStart"/>
      <w:r w:rsidRPr="00B1742E">
        <w:rPr>
          <w:sz w:val="18"/>
          <w:szCs w:val="18"/>
        </w:rPr>
        <w:t>privind</w:t>
      </w:r>
      <w:proofErr w:type="spellEnd"/>
      <w:r w:rsidRPr="00B1742E">
        <w:rPr>
          <w:sz w:val="18"/>
          <w:szCs w:val="18"/>
        </w:rPr>
        <w:t xml:space="preserve"> </w:t>
      </w:r>
      <w:proofErr w:type="spellStart"/>
      <w:r w:rsidRPr="00B1742E">
        <w:rPr>
          <w:sz w:val="18"/>
          <w:szCs w:val="18"/>
        </w:rPr>
        <w:t>certificatele</w:t>
      </w:r>
      <w:proofErr w:type="spellEnd"/>
      <w:r w:rsidRPr="00B1742E">
        <w:rPr>
          <w:sz w:val="18"/>
          <w:szCs w:val="18"/>
        </w:rPr>
        <w:t xml:space="preserve"> </w:t>
      </w:r>
      <w:proofErr w:type="spellStart"/>
      <w:r w:rsidRPr="00B1742E">
        <w:rPr>
          <w:sz w:val="18"/>
          <w:szCs w:val="18"/>
        </w:rPr>
        <w:t>electronice</w:t>
      </w:r>
      <w:proofErr w:type="spellEnd"/>
      <w:r w:rsidRPr="00B1742E">
        <w:rPr>
          <w:sz w:val="18"/>
          <w:szCs w:val="18"/>
        </w:rPr>
        <w:t xml:space="preserve"> ale </w:t>
      </w:r>
      <w:proofErr w:type="spellStart"/>
      <w:r w:rsidRPr="00B1742E">
        <w:rPr>
          <w:sz w:val="18"/>
          <w:szCs w:val="18"/>
        </w:rPr>
        <w:t>navigatorilor</w:t>
      </w:r>
      <w:proofErr w:type="spellEnd"/>
      <w:r w:rsidRPr="00B1742E">
        <w:rPr>
          <w:sz w:val="18"/>
          <w:szCs w:val="18"/>
        </w:rPr>
        <w:t xml:space="preserve"> (MSC.1/Circ.1665)."</w:t>
      </w:r>
    </w:p>
    <w:sectPr w:rsidR="00B1742E" w:rsidRPr="00B1742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2321A" w14:textId="77777777" w:rsidR="005F6B97" w:rsidRDefault="005F6B97">
      <w:pPr>
        <w:spacing w:after="0" w:line="240" w:lineRule="auto"/>
      </w:pPr>
      <w:r>
        <w:separator/>
      </w:r>
    </w:p>
  </w:endnote>
  <w:endnote w:type="continuationSeparator" w:id="0">
    <w:p w14:paraId="32ECC048" w14:textId="77777777" w:rsidR="005F6B97" w:rsidRDefault="005F6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C8ECA" w14:textId="77777777" w:rsidR="005F6B97" w:rsidRDefault="005F6B97">
      <w:pPr>
        <w:spacing w:after="0" w:line="240" w:lineRule="auto"/>
      </w:pPr>
      <w:r>
        <w:rPr>
          <w:color w:val="000000"/>
        </w:rPr>
        <w:separator/>
      </w:r>
    </w:p>
  </w:footnote>
  <w:footnote w:type="continuationSeparator" w:id="0">
    <w:p w14:paraId="518E0366" w14:textId="77777777" w:rsidR="005F6B97" w:rsidRDefault="005F6B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97041F"/>
    <w:multiLevelType w:val="multilevel"/>
    <w:tmpl w:val="6D2EDFD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888567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6D7"/>
    <w:rsid w:val="001116E9"/>
    <w:rsid w:val="00137545"/>
    <w:rsid w:val="00284564"/>
    <w:rsid w:val="002D1C6A"/>
    <w:rsid w:val="004E2126"/>
    <w:rsid w:val="005266D7"/>
    <w:rsid w:val="005A255D"/>
    <w:rsid w:val="005D62E2"/>
    <w:rsid w:val="005F6B97"/>
    <w:rsid w:val="007B23D1"/>
    <w:rsid w:val="008E12A5"/>
    <w:rsid w:val="009803ED"/>
    <w:rsid w:val="009C0BC7"/>
    <w:rsid w:val="00A731B0"/>
    <w:rsid w:val="00B14194"/>
    <w:rsid w:val="00B1742E"/>
    <w:rsid w:val="00BB45C3"/>
    <w:rsid w:val="00C83540"/>
    <w:rsid w:val="00CC0ECB"/>
    <w:rsid w:val="00CE648D"/>
    <w:rsid w:val="00D93598"/>
    <w:rsid w:val="00E11D35"/>
    <w:rsid w:val="00E261BA"/>
    <w:rsid w:val="00F23DE2"/>
    <w:rsid w:val="00FA1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6847B"/>
  <w15:docId w15:val="{2CD5908D-C205-401F-85E3-293133106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kern w:val="3"/>
        <w:sz w:val="24"/>
        <w:szCs w:val="24"/>
        <w:lang w:val="en-US"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Heading7">
    <w:name w:val="heading 7"/>
    <w:basedOn w:val="Normal"/>
    <w:next w:val="Normal"/>
    <w:pPr>
      <w:keepNext/>
      <w:keepLines/>
      <w:spacing w:before="40" w:after="0"/>
      <w:outlineLvl w:val="6"/>
    </w:pPr>
    <w:rPr>
      <w:rFonts w:eastAsia="Times New Roman"/>
      <w:color w:val="595959"/>
    </w:rPr>
  </w:style>
  <w:style w:type="paragraph" w:styleId="Heading8">
    <w:name w:val="heading 8"/>
    <w:basedOn w:val="Normal"/>
    <w:next w:val="Normal"/>
    <w:pPr>
      <w:keepNext/>
      <w:keepLines/>
      <w:spacing w:after="0"/>
      <w:outlineLvl w:val="7"/>
    </w:pPr>
    <w:rPr>
      <w:rFonts w:eastAsia="Times New Roman"/>
      <w:i/>
      <w:iCs/>
      <w:color w:val="272727"/>
    </w:rPr>
  </w:style>
  <w:style w:type="paragraph" w:styleId="Heading9">
    <w:name w:val="heading 9"/>
    <w:basedOn w:val="Normal"/>
    <w:next w:val="Normal"/>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F4761"/>
      <w:sz w:val="40"/>
      <w:szCs w:val="40"/>
    </w:rPr>
  </w:style>
  <w:style w:type="character" w:customStyle="1" w:styleId="Heading2Char">
    <w:name w:val="Heading 2 Char"/>
    <w:basedOn w:val="DefaultParagraphFont"/>
    <w:rPr>
      <w:rFonts w:ascii="Aptos Display" w:eastAsia="Times New Roman" w:hAnsi="Aptos Display" w:cs="Times New Roman"/>
      <w:color w:val="0F4761"/>
      <w:sz w:val="32"/>
      <w:szCs w:val="32"/>
    </w:rPr>
  </w:style>
  <w:style w:type="character" w:customStyle="1" w:styleId="Heading3Char">
    <w:name w:val="Heading 3 Char"/>
    <w:basedOn w:val="DefaultParagraphFont"/>
    <w:rPr>
      <w:rFonts w:eastAsia="Times New Roman" w:cs="Times New Roman"/>
      <w:color w:val="0F4761"/>
      <w:sz w:val="28"/>
      <w:szCs w:val="28"/>
    </w:rPr>
  </w:style>
  <w:style w:type="character" w:customStyle="1" w:styleId="Heading4Char">
    <w:name w:val="Heading 4 Char"/>
    <w:basedOn w:val="DefaultParagraphFont"/>
    <w:rPr>
      <w:rFonts w:eastAsia="Times New Roman" w:cs="Times New Roman"/>
      <w:i/>
      <w:iCs/>
      <w:color w:val="0F4761"/>
    </w:rPr>
  </w:style>
  <w:style w:type="character" w:customStyle="1" w:styleId="Heading5Char">
    <w:name w:val="Heading 5 Char"/>
    <w:basedOn w:val="DefaultParagraphFont"/>
    <w:rPr>
      <w:rFonts w:eastAsia="Times New Roman" w:cs="Times New Roman"/>
      <w:color w:val="0F4761"/>
    </w:rPr>
  </w:style>
  <w:style w:type="character" w:customStyle="1" w:styleId="Heading6Char">
    <w:name w:val="Heading 6 Char"/>
    <w:basedOn w:val="DefaultParagraphFont"/>
    <w:rPr>
      <w:rFonts w:eastAsia="Times New Roman" w:cs="Times New Roman"/>
      <w:i/>
      <w:iCs/>
      <w:color w:val="595959"/>
    </w:rPr>
  </w:style>
  <w:style w:type="character" w:customStyle="1" w:styleId="Heading7Char">
    <w:name w:val="Heading 7 Char"/>
    <w:basedOn w:val="DefaultParagraphFont"/>
    <w:rPr>
      <w:rFonts w:eastAsia="Times New Roman" w:cs="Times New Roman"/>
      <w:color w:val="595959"/>
    </w:rPr>
  </w:style>
  <w:style w:type="character" w:customStyle="1" w:styleId="Heading8Char">
    <w:name w:val="Heading 8 Char"/>
    <w:basedOn w:val="DefaultParagraphFont"/>
    <w:rPr>
      <w:rFonts w:eastAsia="Times New Roman" w:cs="Times New Roman"/>
      <w:i/>
      <w:iCs/>
      <w:color w:val="272727"/>
    </w:rPr>
  </w:style>
  <w:style w:type="character" w:customStyle="1" w:styleId="Heading9Char">
    <w:name w:val="Heading 9 Char"/>
    <w:basedOn w:val="DefaultParagraphFont"/>
    <w:rPr>
      <w:rFonts w:eastAsia="Times New Roman" w:cs="Times New Roman"/>
      <w:color w:val="272727"/>
    </w:rPr>
  </w:style>
  <w:style w:type="paragraph" w:styleId="Titl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leChar">
    <w:name w:val="Title Char"/>
    <w:basedOn w:val="DefaultParagraphFont"/>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rPr>
      <w:rFonts w:eastAsia="Times New Roman"/>
      <w:color w:val="595959"/>
      <w:spacing w:val="15"/>
      <w:sz w:val="28"/>
      <w:szCs w:val="28"/>
    </w:rPr>
  </w:style>
  <w:style w:type="character" w:customStyle="1" w:styleId="SubtitleChar">
    <w:name w:val="Subtitle Char"/>
    <w:basedOn w:val="DefaultParagraphFont"/>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QuoteChar">
    <w:name w:val="Quote Char"/>
    <w:basedOn w:val="DefaultParagraphFont"/>
    <w:rPr>
      <w:i/>
      <w:iCs/>
      <w:color w:val="404040"/>
    </w:rPr>
  </w:style>
  <w:style w:type="paragraph" w:styleId="ListParagraph">
    <w:name w:val="List Paragraph"/>
    <w:basedOn w:val="Normal"/>
    <w:pPr>
      <w:ind w:left="720"/>
      <w:contextualSpacing/>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rPr>
      <w:i/>
      <w:iCs/>
      <w:color w:val="0F4761"/>
    </w:rPr>
  </w:style>
  <w:style w:type="character" w:styleId="IntenseReference">
    <w:name w:val="Intense Reference"/>
    <w:basedOn w:val="DefaultParagraphFont"/>
    <w:rPr>
      <w:b/>
      <w:bCs/>
      <w:smallCaps/>
      <w:color w:val="0F4761"/>
      <w:spacing w:val="5"/>
    </w:rPr>
  </w:style>
  <w:style w:type="paragraph" w:styleId="FootnoteText">
    <w:name w:val="footnote text"/>
    <w:basedOn w:val="Normal"/>
    <w:link w:val="FootnoteTextChar"/>
    <w:uiPriority w:val="99"/>
    <w:semiHidden/>
    <w:unhideWhenUsed/>
    <w:rsid w:val="00B174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742E"/>
    <w:rPr>
      <w:sz w:val="20"/>
      <w:szCs w:val="20"/>
    </w:rPr>
  </w:style>
  <w:style w:type="character" w:styleId="FootnoteReference">
    <w:name w:val="footnote reference"/>
    <w:basedOn w:val="DefaultParagraphFont"/>
    <w:uiPriority w:val="99"/>
    <w:semiHidden/>
    <w:unhideWhenUsed/>
    <w:rsid w:val="00B174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DC0B8-DDDE-4A97-A303-46DB819FE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599</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Cristina Vutcovici</dc:creator>
  <dc:description/>
  <cp:lastModifiedBy>Laura Badea</cp:lastModifiedBy>
  <cp:revision>2</cp:revision>
  <dcterms:created xsi:type="dcterms:W3CDTF">2024-11-20T07:58:00Z</dcterms:created>
  <dcterms:modified xsi:type="dcterms:W3CDTF">2024-11-20T07:58:00Z</dcterms:modified>
</cp:coreProperties>
</file>