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8A1F" w14:textId="77777777" w:rsidR="00C52D68" w:rsidRPr="00694690" w:rsidRDefault="0090191B" w:rsidP="0090191B">
      <w:pPr>
        <w:jc w:val="both"/>
        <w:rPr>
          <w:rFonts w:ascii="Trebuchet MS" w:eastAsia="MS Mincho" w:hAnsi="Trebuchet MS"/>
          <w:b/>
          <w:sz w:val="22"/>
          <w:szCs w:val="22"/>
        </w:rPr>
      </w:pPr>
      <w:r w:rsidRPr="00694690">
        <w:rPr>
          <w:rFonts w:ascii="Trebuchet MS" w:eastAsia="MS Mincho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7597889A" wp14:editId="575D7094">
            <wp:extent cx="5802630" cy="1090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86" cy="109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D68" w:rsidRPr="00694690">
        <w:rPr>
          <w:rFonts w:ascii="Trebuchet MS" w:eastAsia="MS Mincho" w:hAnsi="Trebuchet MS"/>
          <w:b/>
          <w:sz w:val="22"/>
          <w:szCs w:val="22"/>
        </w:rPr>
        <w:t xml:space="preserve">              </w:t>
      </w:r>
    </w:p>
    <w:p w14:paraId="55018B4C" w14:textId="77777777" w:rsidR="00C52D68" w:rsidRPr="00694690" w:rsidRDefault="00C52D68" w:rsidP="00C52D68">
      <w:pPr>
        <w:ind w:firstLine="720"/>
        <w:jc w:val="both"/>
        <w:rPr>
          <w:rFonts w:ascii="Trebuchet MS" w:eastAsia="MS Mincho" w:hAnsi="Trebuchet MS"/>
          <w:b/>
          <w:sz w:val="28"/>
          <w:szCs w:val="28"/>
        </w:rPr>
      </w:pPr>
    </w:p>
    <w:p w14:paraId="3749B9C0" w14:textId="77777777" w:rsidR="00C52D68" w:rsidRPr="00EC4015" w:rsidRDefault="00C52D68" w:rsidP="00C52D68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EC4015">
        <w:rPr>
          <w:rFonts w:ascii="Trebuchet MS" w:eastAsia="MS Mincho" w:hAnsi="Trebuchet MS"/>
          <w:b/>
          <w:sz w:val="22"/>
          <w:szCs w:val="22"/>
        </w:rPr>
        <w:t>DIRECŢIA TRANSPORT NAVAL</w:t>
      </w:r>
      <w:r w:rsidRPr="00EC4015">
        <w:rPr>
          <w:rFonts w:ascii="Trebuchet MS" w:eastAsia="MS Mincho" w:hAnsi="Trebuchet MS"/>
          <w:b/>
          <w:sz w:val="22"/>
          <w:szCs w:val="22"/>
        </w:rPr>
        <w:tab/>
      </w:r>
      <w:r w:rsidRPr="00EC4015">
        <w:rPr>
          <w:rFonts w:ascii="Trebuchet MS" w:eastAsia="MS Mincho" w:hAnsi="Trebuchet MS"/>
          <w:b/>
          <w:sz w:val="22"/>
          <w:szCs w:val="22"/>
        </w:rPr>
        <w:tab/>
      </w:r>
      <w:r w:rsidRPr="00EC4015">
        <w:rPr>
          <w:rFonts w:ascii="Trebuchet MS" w:eastAsia="MS Mincho" w:hAnsi="Trebuchet MS"/>
          <w:b/>
          <w:sz w:val="22"/>
          <w:szCs w:val="22"/>
        </w:rPr>
        <w:tab/>
      </w:r>
      <w:r w:rsidRPr="00EC4015">
        <w:rPr>
          <w:rFonts w:ascii="Trebuchet MS" w:eastAsia="MS Mincho" w:hAnsi="Trebuchet MS"/>
          <w:b/>
          <w:sz w:val="22"/>
          <w:szCs w:val="22"/>
        </w:rPr>
        <w:tab/>
        <w:t xml:space="preserve">       </w:t>
      </w:r>
    </w:p>
    <w:p w14:paraId="2267DE1B" w14:textId="77777777" w:rsidR="00C52D68" w:rsidRPr="00EC4015" w:rsidRDefault="00694690" w:rsidP="00C52D68">
      <w:pPr>
        <w:ind w:left="6480" w:firstLine="720"/>
        <w:jc w:val="both"/>
        <w:rPr>
          <w:rFonts w:ascii="Trebuchet MS" w:hAnsi="Trebuchet MS"/>
          <w:b/>
          <w:sz w:val="22"/>
          <w:szCs w:val="22"/>
        </w:rPr>
      </w:pPr>
      <w:r w:rsidRPr="00EC4015">
        <w:rPr>
          <w:rFonts w:ascii="Trebuchet MS" w:hAnsi="Trebuchet MS"/>
          <w:b/>
          <w:sz w:val="22"/>
          <w:szCs w:val="22"/>
        </w:rPr>
        <w:t xml:space="preserve">   </w:t>
      </w:r>
      <w:r w:rsidR="00C52D68" w:rsidRPr="00EC4015">
        <w:rPr>
          <w:rFonts w:ascii="Trebuchet MS" w:hAnsi="Trebuchet MS"/>
          <w:b/>
          <w:sz w:val="22"/>
          <w:szCs w:val="22"/>
        </w:rPr>
        <w:t xml:space="preserve">Nr.                </w:t>
      </w:r>
      <w:r w:rsidR="00C52D68" w:rsidRPr="00EC4015">
        <w:rPr>
          <w:rFonts w:ascii="Trebuchet MS" w:hAnsi="Trebuchet MS"/>
          <w:b/>
          <w:sz w:val="22"/>
          <w:szCs w:val="22"/>
        </w:rPr>
        <w:tab/>
      </w:r>
    </w:p>
    <w:p w14:paraId="05C0861B" w14:textId="77777777" w:rsidR="00C52D68" w:rsidRPr="00EC4015" w:rsidRDefault="00C52D68" w:rsidP="00C52D68">
      <w:pPr>
        <w:ind w:left="5664"/>
        <w:jc w:val="both"/>
        <w:rPr>
          <w:rFonts w:ascii="Trebuchet MS" w:hAnsi="Trebuchet MS"/>
          <w:b/>
          <w:sz w:val="22"/>
          <w:szCs w:val="22"/>
        </w:rPr>
      </w:pPr>
      <w:r w:rsidRPr="00EC4015">
        <w:rPr>
          <w:rFonts w:ascii="Trebuchet MS" w:hAnsi="Trebuchet MS"/>
          <w:b/>
          <w:sz w:val="22"/>
          <w:szCs w:val="22"/>
        </w:rPr>
        <w:t xml:space="preserve">                    </w:t>
      </w:r>
      <w:r w:rsidR="0090191B" w:rsidRPr="00EC4015">
        <w:rPr>
          <w:rFonts w:ascii="Trebuchet MS" w:hAnsi="Trebuchet MS"/>
          <w:b/>
          <w:sz w:val="22"/>
          <w:szCs w:val="22"/>
        </w:rPr>
        <w:t xml:space="preserve">    </w:t>
      </w:r>
      <w:r w:rsidRPr="00EC4015">
        <w:rPr>
          <w:rFonts w:ascii="Trebuchet MS" w:hAnsi="Trebuchet MS"/>
          <w:b/>
          <w:sz w:val="22"/>
          <w:szCs w:val="22"/>
        </w:rPr>
        <w:t xml:space="preserve"> Data             </w:t>
      </w:r>
    </w:p>
    <w:p w14:paraId="45E57A8C" w14:textId="77777777" w:rsidR="0027009F" w:rsidRDefault="0027009F" w:rsidP="00C52D68">
      <w:pPr>
        <w:rPr>
          <w:rFonts w:ascii="Trebuchet MS" w:hAnsi="Trebuchet MS"/>
          <w:sz w:val="22"/>
          <w:szCs w:val="22"/>
        </w:rPr>
      </w:pPr>
    </w:p>
    <w:p w14:paraId="193B6676" w14:textId="77777777" w:rsidR="00D11DAD" w:rsidRPr="00EC4015" w:rsidRDefault="00D11DAD" w:rsidP="00C52D68">
      <w:pPr>
        <w:rPr>
          <w:rFonts w:ascii="Trebuchet MS" w:hAnsi="Trebuchet MS"/>
          <w:sz w:val="22"/>
          <w:szCs w:val="22"/>
        </w:rPr>
      </w:pPr>
    </w:p>
    <w:p w14:paraId="0F9B244E" w14:textId="77777777" w:rsidR="00C52D68" w:rsidRPr="00EC4015" w:rsidRDefault="00C52D68" w:rsidP="00C52D68">
      <w:pPr>
        <w:rPr>
          <w:rFonts w:ascii="Trebuchet MS" w:hAnsi="Trebuchet MS"/>
          <w:sz w:val="22"/>
          <w:szCs w:val="22"/>
        </w:rPr>
      </w:pPr>
    </w:p>
    <w:p w14:paraId="4DCC76D6" w14:textId="77777777" w:rsidR="00C52D68" w:rsidRPr="00EC4015" w:rsidRDefault="00C52D68" w:rsidP="00C52D68">
      <w:pPr>
        <w:pStyle w:val="Heading4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>REFERAT DE APROBARE</w:t>
      </w:r>
    </w:p>
    <w:p w14:paraId="37F7D9EB" w14:textId="77777777" w:rsidR="00E83C25" w:rsidRPr="00EC4015" w:rsidRDefault="00E83C25" w:rsidP="00E83C25">
      <w:pPr>
        <w:rPr>
          <w:rFonts w:ascii="Trebuchet MS" w:hAnsi="Trebuchet MS"/>
          <w:sz w:val="22"/>
          <w:szCs w:val="22"/>
        </w:rPr>
      </w:pPr>
    </w:p>
    <w:p w14:paraId="3A6FCE9C" w14:textId="18778194" w:rsidR="000C4384" w:rsidRPr="00EC4015" w:rsidRDefault="00DD43E3" w:rsidP="00E5377C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zh-CN"/>
        </w:rPr>
      </w:pPr>
      <w:r w:rsidRPr="00EC4015">
        <w:rPr>
          <w:rFonts w:ascii="Trebuchet MS" w:hAnsi="Trebuchet MS"/>
          <w:b/>
          <w:sz w:val="22"/>
          <w:szCs w:val="22"/>
        </w:rPr>
        <w:t xml:space="preserve">a Ordinului ministrului transporturilor </w:t>
      </w:r>
      <w:r w:rsidR="0090191B" w:rsidRPr="00EC4015">
        <w:rPr>
          <w:rFonts w:ascii="Trebuchet MS" w:hAnsi="Trebuchet MS"/>
          <w:b/>
          <w:sz w:val="22"/>
          <w:szCs w:val="22"/>
        </w:rPr>
        <w:t xml:space="preserve">și infrastructurii </w:t>
      </w:r>
      <w:r w:rsidR="00670BAC" w:rsidRPr="00EC4015">
        <w:rPr>
          <w:rFonts w:ascii="Trebuchet MS" w:hAnsi="Trebuchet MS"/>
          <w:b/>
          <w:sz w:val="22"/>
          <w:szCs w:val="22"/>
        </w:rPr>
        <w:t xml:space="preserve">pentru </w:t>
      </w:r>
      <w:r w:rsidR="006351F8" w:rsidRPr="00EC4015">
        <w:rPr>
          <w:rFonts w:ascii="Trebuchet MS" w:hAnsi="Trebuchet MS"/>
          <w:b/>
          <w:sz w:val="22"/>
          <w:szCs w:val="22"/>
        </w:rPr>
        <w:t xml:space="preserve">modificarea </w:t>
      </w:r>
      <w:proofErr w:type="spellStart"/>
      <w:r w:rsidR="006351F8" w:rsidRPr="00EC4015">
        <w:rPr>
          <w:rFonts w:ascii="Trebuchet MS" w:hAnsi="Trebuchet MS"/>
          <w:b/>
          <w:sz w:val="22"/>
          <w:szCs w:val="22"/>
        </w:rPr>
        <w:t>şi</w:t>
      </w:r>
      <w:proofErr w:type="spellEnd"/>
      <w:r w:rsidR="006351F8" w:rsidRPr="00EC4015">
        <w:rPr>
          <w:rFonts w:ascii="Trebuchet MS" w:hAnsi="Trebuchet MS"/>
          <w:b/>
          <w:sz w:val="22"/>
          <w:szCs w:val="22"/>
        </w:rPr>
        <w:t xml:space="preserve"> completarea Ordinului ministrului transporturilor nr. 1132/2013 </w:t>
      </w:r>
      <w:r w:rsidR="006351F8" w:rsidRPr="00EC4015">
        <w:rPr>
          <w:rFonts w:ascii="Trebuchet MS" w:hAnsi="Trebuchet MS"/>
          <w:b/>
          <w:sz w:val="22"/>
          <w:szCs w:val="22"/>
          <w:lang w:eastAsia="zh-CN"/>
        </w:rPr>
        <w:t xml:space="preserve">privind aplicarea </w:t>
      </w:r>
      <w:r w:rsidR="006351F8" w:rsidRPr="00EC4015">
        <w:rPr>
          <w:rFonts w:ascii="Trebuchet MS" w:hAnsi="Trebuchet MS"/>
          <w:b/>
          <w:sz w:val="22"/>
          <w:szCs w:val="22"/>
        </w:rPr>
        <w:t>Codului de reguli practice de siguran</w:t>
      </w:r>
      <w:r w:rsidR="00E5377C">
        <w:rPr>
          <w:rFonts w:ascii="Trebuchet MS" w:hAnsi="Trebuchet MS"/>
          <w:b/>
          <w:sz w:val="22"/>
          <w:szCs w:val="22"/>
        </w:rPr>
        <w:t>ț</w:t>
      </w:r>
      <w:r w:rsidR="006351F8" w:rsidRPr="00EC4015">
        <w:rPr>
          <w:rFonts w:ascii="Trebuchet MS" w:hAnsi="Trebuchet MS"/>
          <w:b/>
          <w:sz w:val="22"/>
          <w:szCs w:val="22"/>
        </w:rPr>
        <w:t xml:space="preserve">ă din 2011 pentru navele care transportă încărcături de lemn pe punte (Codul TDC 2011), adoptat </w:t>
      </w:r>
      <w:r w:rsidR="006351F8" w:rsidRPr="00EC4015">
        <w:rPr>
          <w:rFonts w:ascii="Trebuchet MS" w:hAnsi="Trebuchet MS"/>
          <w:b/>
          <w:sz w:val="22"/>
          <w:szCs w:val="22"/>
          <w:lang w:eastAsia="zh-CN"/>
        </w:rPr>
        <w:t>de Adunarea Organiza</w:t>
      </w:r>
      <w:r w:rsidR="00E5377C">
        <w:rPr>
          <w:rFonts w:ascii="Trebuchet MS" w:hAnsi="Trebuchet MS"/>
          <w:b/>
          <w:sz w:val="22"/>
          <w:szCs w:val="22"/>
          <w:lang w:eastAsia="zh-CN"/>
        </w:rPr>
        <w:t>ț</w:t>
      </w:r>
      <w:r w:rsidR="006351F8" w:rsidRPr="00EC4015">
        <w:rPr>
          <w:rFonts w:ascii="Trebuchet MS" w:hAnsi="Trebuchet MS"/>
          <w:b/>
          <w:sz w:val="22"/>
          <w:szCs w:val="22"/>
          <w:lang w:eastAsia="zh-CN"/>
        </w:rPr>
        <w:t>iei Maritime Interna</w:t>
      </w:r>
      <w:r w:rsidR="00E5377C">
        <w:rPr>
          <w:rFonts w:ascii="Trebuchet MS" w:hAnsi="Trebuchet MS"/>
          <w:b/>
          <w:sz w:val="22"/>
          <w:szCs w:val="22"/>
          <w:lang w:eastAsia="zh-CN"/>
        </w:rPr>
        <w:t>ț</w:t>
      </w:r>
      <w:r w:rsidR="006351F8" w:rsidRPr="00EC4015">
        <w:rPr>
          <w:rFonts w:ascii="Trebuchet MS" w:hAnsi="Trebuchet MS"/>
          <w:b/>
          <w:sz w:val="22"/>
          <w:szCs w:val="22"/>
          <w:lang w:eastAsia="zh-CN"/>
        </w:rPr>
        <w:t>ionale prin Rezoluția A.1048(27) din 30 noiembrie 2011</w:t>
      </w:r>
    </w:p>
    <w:p w14:paraId="6E560006" w14:textId="77777777" w:rsidR="0090191B" w:rsidRDefault="0090191B" w:rsidP="00E5377C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zh-CN"/>
        </w:rPr>
      </w:pPr>
    </w:p>
    <w:p w14:paraId="6FA49D82" w14:textId="77777777" w:rsidR="00D11DAD" w:rsidRPr="00EC4015" w:rsidRDefault="00D11DAD" w:rsidP="00E5377C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zh-CN"/>
        </w:rPr>
      </w:pPr>
    </w:p>
    <w:p w14:paraId="744BDFB6" w14:textId="2BE8AF95" w:rsidR="006351F8" w:rsidRPr="00EC4015" w:rsidRDefault="006351F8" w:rsidP="00335061">
      <w:pPr>
        <w:ind w:firstLine="851"/>
        <w:jc w:val="both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>Organiza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ia Maritimă Interna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ională (OMI), înfiin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ată prin Convenția de la Geneva din 1948, cu sediul la Londra, este institu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ia specializată din sistemul Na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iunilor Unite în domeniul navigației maritime comerciale interna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 xml:space="preserve">ionale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 xml:space="preserve">i are ca scop principal elaborarea cadrului juridic, tehnic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>i organizatoric pentru asigurarea siguran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ei naviga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 xml:space="preserve">iei, securității navelor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 xml:space="preserve">i a instalațiilor portuare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>i prevenirii poluării mediului marin de către nave. România este stat membru al acestei organizații ca urmare a aderării, prin Decretul nr.114/1965, la Conven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 xml:space="preserve">ia de la Geneva din 1948 privind crearea OMI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>i în prezent este parte la toate conven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iile interna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ionale principale privind siguran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 xml:space="preserve">a maritimă, securitatea maritimă </w:t>
      </w:r>
      <w:r w:rsidR="00E5377C">
        <w:rPr>
          <w:rFonts w:ascii="Trebuchet MS" w:hAnsi="Trebuchet MS"/>
          <w:sz w:val="22"/>
          <w:szCs w:val="22"/>
        </w:rPr>
        <w:t>ș</w:t>
      </w:r>
      <w:r w:rsidRPr="00EC4015">
        <w:rPr>
          <w:rFonts w:ascii="Trebuchet MS" w:hAnsi="Trebuchet MS"/>
          <w:sz w:val="22"/>
          <w:szCs w:val="22"/>
        </w:rPr>
        <w:t>i prevenirea poluării mediului marin de către nave, adoptate sub egida organizației.</w:t>
      </w:r>
    </w:p>
    <w:p w14:paraId="1DD23AF0" w14:textId="72B12EFA" w:rsidR="006351F8" w:rsidRPr="00EC4015" w:rsidRDefault="006351F8" w:rsidP="00335061">
      <w:pPr>
        <w:ind w:firstLine="851"/>
        <w:jc w:val="both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 xml:space="preserve">În vederea realizării scopurilor sale, OMI organizează conferințe internaționale și sesiuni ale Adunării statelor membre și ale comitetelor sale, pentru adoptarea convențiilor maritime, codurilor și rezoluțiilor în </w:t>
      </w:r>
      <w:r w:rsidR="00E5377C">
        <w:rPr>
          <w:rFonts w:ascii="Trebuchet MS" w:hAnsi="Trebuchet MS"/>
          <w:sz w:val="22"/>
          <w:szCs w:val="22"/>
        </w:rPr>
        <w:t>domeniu</w:t>
      </w:r>
      <w:r w:rsidRPr="00EC4015">
        <w:rPr>
          <w:rFonts w:ascii="Trebuchet MS" w:hAnsi="Trebuchet MS"/>
          <w:sz w:val="22"/>
          <w:szCs w:val="22"/>
        </w:rPr>
        <w:t>.</w:t>
      </w:r>
    </w:p>
    <w:p w14:paraId="252BB95E" w14:textId="6ABF6C2B" w:rsidR="006351F8" w:rsidRPr="00EC4015" w:rsidRDefault="006351F8" w:rsidP="00335061">
      <w:pPr>
        <w:autoSpaceDE w:val="0"/>
        <w:autoSpaceDN w:val="0"/>
        <w:adjustRightInd w:val="0"/>
        <w:ind w:firstLine="851"/>
        <w:jc w:val="both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>Codul de reguli practice de siguran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ă pentru navele care transportă încărcături de lemn pe punte a fost adoptat pentru prima dată de către Organizație prin rezoluția A.287(VIII) din 20 noiembrie 1973. Ulterior, c</w:t>
      </w:r>
      <w:r w:rsidRPr="00EC4015">
        <w:rPr>
          <w:rStyle w:val="hps"/>
          <w:rFonts w:ascii="Trebuchet MS" w:hAnsi="Trebuchet MS"/>
          <w:sz w:val="22"/>
          <w:szCs w:val="22"/>
        </w:rPr>
        <w:t xml:space="preserve">a urmare a continuării producerii unor incidente navale legate de transportul încărcăturilor de lemn pe punte, a operării unor nave din ce în ce mai mari și mai complexe din punct de vedere tehnologic, s-a impus revizuirea codului în 1991 (prin </w:t>
      </w:r>
      <w:r w:rsidRPr="00EC4015">
        <w:rPr>
          <w:rFonts w:ascii="Trebuchet MS" w:hAnsi="Trebuchet MS"/>
          <w:sz w:val="22"/>
          <w:szCs w:val="22"/>
        </w:rPr>
        <w:t xml:space="preserve">rezoluția A.715(17)) </w:t>
      </w:r>
      <w:r w:rsidRPr="00EC4015">
        <w:rPr>
          <w:rStyle w:val="hps"/>
          <w:rFonts w:ascii="Trebuchet MS" w:hAnsi="Trebuchet MS"/>
          <w:sz w:val="22"/>
          <w:szCs w:val="22"/>
        </w:rPr>
        <w:t>și în 2011 (prin r</w:t>
      </w:r>
      <w:r w:rsidRPr="00EC4015">
        <w:rPr>
          <w:rFonts w:ascii="Trebuchet MS" w:hAnsi="Trebuchet MS"/>
          <w:sz w:val="22"/>
          <w:szCs w:val="22"/>
        </w:rPr>
        <w:t>ezoluția A.1048(27) - Codul de reguli practice de siguran</w:t>
      </w:r>
      <w:r w:rsidR="00E5377C">
        <w:rPr>
          <w:rFonts w:ascii="Trebuchet MS" w:hAnsi="Trebuchet MS"/>
          <w:sz w:val="22"/>
          <w:szCs w:val="22"/>
        </w:rPr>
        <w:t>ț</w:t>
      </w:r>
      <w:r w:rsidRPr="00EC4015">
        <w:rPr>
          <w:rFonts w:ascii="Trebuchet MS" w:hAnsi="Trebuchet MS"/>
          <w:sz w:val="22"/>
          <w:szCs w:val="22"/>
        </w:rPr>
        <w:t>ă din 2011 pentru navele care transportă încărcături de lemn pe punte (Codul TDC 2011), care abrogă rezoluția A.715(17)).</w:t>
      </w:r>
    </w:p>
    <w:p w14:paraId="19731D1F" w14:textId="34AAEF0E" w:rsidR="00C840DC" w:rsidRPr="00EC4015" w:rsidRDefault="006351F8" w:rsidP="00335061">
      <w:pPr>
        <w:autoSpaceDE w:val="0"/>
        <w:autoSpaceDN w:val="0"/>
        <w:adjustRightInd w:val="0"/>
        <w:ind w:firstLine="851"/>
        <w:jc w:val="both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>Codul TDC 2011 se adresează tuturor celor implicați în pregătirea, încărcarea, stivuirea, amararea și transportul încărcăturii de lemn pe punte (unitățile de pre-ambalare, expeditorii, proprietarii navelor, navlositorii, companiile de operare, echipajul navelor) precum și administrațiilor, constructorilor și proiectanților de nave și echipamente.</w:t>
      </w:r>
      <w:r w:rsidR="00C840DC" w:rsidRPr="00EC4015">
        <w:rPr>
          <w:rFonts w:ascii="Trebuchet MS" w:hAnsi="Trebuchet MS"/>
          <w:sz w:val="22"/>
          <w:szCs w:val="22"/>
        </w:rPr>
        <w:t xml:space="preserve"> Trimiteri la Codul TDC 2011 se regăsesc </w:t>
      </w:r>
      <w:r w:rsidR="004C6F8A" w:rsidRPr="00EC4015">
        <w:rPr>
          <w:rFonts w:ascii="Trebuchet MS" w:hAnsi="Trebuchet MS"/>
          <w:sz w:val="22"/>
          <w:szCs w:val="22"/>
        </w:rPr>
        <w:t>î</w:t>
      </w:r>
      <w:r w:rsidR="00C840DC" w:rsidRPr="00EC4015">
        <w:rPr>
          <w:rFonts w:ascii="Trebuchet MS" w:hAnsi="Trebuchet MS"/>
          <w:sz w:val="22"/>
          <w:szCs w:val="22"/>
        </w:rPr>
        <w:t xml:space="preserve">n importante </w:t>
      </w:r>
      <w:r w:rsidR="004C6F8A" w:rsidRPr="00EC4015">
        <w:rPr>
          <w:rFonts w:ascii="Trebuchet MS" w:hAnsi="Trebuchet MS"/>
          <w:sz w:val="22"/>
          <w:szCs w:val="22"/>
        </w:rPr>
        <w:t>instrumente</w:t>
      </w:r>
      <w:r w:rsidR="00C840DC" w:rsidRPr="00EC4015">
        <w:rPr>
          <w:rFonts w:ascii="Trebuchet MS" w:hAnsi="Trebuchet MS"/>
          <w:sz w:val="22"/>
          <w:szCs w:val="22"/>
        </w:rPr>
        <w:t xml:space="preserve"> adoptate în cadrul OMI</w:t>
      </w:r>
      <w:r w:rsidR="004C6F8A" w:rsidRPr="00EC4015">
        <w:rPr>
          <w:rFonts w:ascii="Trebuchet MS" w:hAnsi="Trebuchet MS"/>
          <w:sz w:val="22"/>
          <w:szCs w:val="22"/>
        </w:rPr>
        <w:t>,</w:t>
      </w:r>
      <w:r w:rsidR="00C840DC" w:rsidRPr="00EC4015">
        <w:rPr>
          <w:rFonts w:ascii="Trebuchet MS" w:hAnsi="Trebuchet MS"/>
          <w:sz w:val="22"/>
          <w:szCs w:val="22"/>
        </w:rPr>
        <w:t xml:space="preserve"> cum ar fi: </w:t>
      </w:r>
      <w:r w:rsidR="00C840DC" w:rsidRPr="00EC4015">
        <w:rPr>
          <w:rFonts w:ascii="Trebuchet MS" w:hAnsi="Trebuchet MS"/>
          <w:i/>
          <w:sz w:val="22"/>
          <w:szCs w:val="22"/>
        </w:rPr>
        <w:t>C</w:t>
      </w:r>
      <w:r w:rsidR="00C840DC" w:rsidRPr="00EC4015">
        <w:rPr>
          <w:rFonts w:ascii="Trebuchet MS" w:hAnsi="Trebuchet MS"/>
          <w:i/>
          <w:sz w:val="22"/>
          <w:szCs w:val="22"/>
          <w:lang w:eastAsia="zh-CN"/>
        </w:rPr>
        <w:t>onven</w:t>
      </w:r>
      <w:r w:rsidR="00E5377C">
        <w:rPr>
          <w:rFonts w:ascii="Trebuchet MS" w:hAnsi="Trebuchet MS"/>
          <w:i/>
          <w:sz w:val="22"/>
          <w:szCs w:val="22"/>
          <w:lang w:eastAsia="zh-CN"/>
        </w:rPr>
        <w:t>ț</w:t>
      </w:r>
      <w:r w:rsidR="00C840DC" w:rsidRPr="00EC4015">
        <w:rPr>
          <w:rFonts w:ascii="Trebuchet MS" w:hAnsi="Trebuchet MS"/>
          <w:i/>
          <w:sz w:val="22"/>
          <w:szCs w:val="22"/>
          <w:lang w:eastAsia="zh-CN"/>
        </w:rPr>
        <w:t>ia interna</w:t>
      </w:r>
      <w:r w:rsidR="00E5377C">
        <w:rPr>
          <w:rFonts w:ascii="Trebuchet MS" w:hAnsi="Trebuchet MS"/>
          <w:i/>
          <w:sz w:val="22"/>
          <w:szCs w:val="22"/>
          <w:lang w:eastAsia="zh-CN"/>
        </w:rPr>
        <w:t>ț</w:t>
      </w:r>
      <w:r w:rsidR="00C840DC" w:rsidRPr="00EC4015">
        <w:rPr>
          <w:rFonts w:ascii="Trebuchet MS" w:hAnsi="Trebuchet MS"/>
          <w:i/>
          <w:sz w:val="22"/>
          <w:szCs w:val="22"/>
          <w:lang w:eastAsia="zh-CN"/>
        </w:rPr>
        <w:t>ională din 1966 asupra liniilor de încărcare, modificată prin Protocolul din 1988</w:t>
      </w:r>
      <w:r w:rsidR="00C840DC" w:rsidRPr="00EC4015">
        <w:rPr>
          <w:rFonts w:ascii="Trebuchet MS" w:hAnsi="Trebuchet MS"/>
          <w:sz w:val="22"/>
          <w:szCs w:val="22"/>
          <w:lang w:eastAsia="zh-CN"/>
        </w:rPr>
        <w:t xml:space="preserve"> la care România a aderat prin Ordonan</w:t>
      </w:r>
      <w:r w:rsidR="00E5377C">
        <w:rPr>
          <w:rFonts w:ascii="Trebuchet MS" w:hAnsi="Trebuchet MS"/>
          <w:sz w:val="22"/>
          <w:szCs w:val="22"/>
          <w:lang w:eastAsia="zh-CN"/>
        </w:rPr>
        <w:t>ț</w:t>
      </w:r>
      <w:r w:rsidR="00C840DC" w:rsidRPr="00EC4015">
        <w:rPr>
          <w:rFonts w:ascii="Trebuchet MS" w:hAnsi="Trebuchet MS"/>
          <w:sz w:val="22"/>
          <w:szCs w:val="22"/>
          <w:lang w:eastAsia="zh-CN"/>
        </w:rPr>
        <w:t xml:space="preserve">a Guvernului nr. 53/1999, </w:t>
      </w:r>
      <w:r w:rsidR="00C840DC" w:rsidRPr="00EC4015">
        <w:rPr>
          <w:rFonts w:ascii="Trebuchet MS" w:hAnsi="Trebuchet MS"/>
          <w:i/>
          <w:sz w:val="22"/>
          <w:szCs w:val="22"/>
        </w:rPr>
        <w:t>Conven</w:t>
      </w:r>
      <w:r w:rsidR="00E5377C">
        <w:rPr>
          <w:rFonts w:ascii="Trebuchet MS" w:hAnsi="Trebuchet MS"/>
          <w:i/>
          <w:sz w:val="22"/>
          <w:szCs w:val="22"/>
        </w:rPr>
        <w:t>ț</w:t>
      </w:r>
      <w:r w:rsidR="00C840DC" w:rsidRPr="00EC4015">
        <w:rPr>
          <w:rFonts w:ascii="Trebuchet MS" w:hAnsi="Trebuchet MS"/>
          <w:i/>
          <w:sz w:val="22"/>
          <w:szCs w:val="22"/>
        </w:rPr>
        <w:t>ia interna</w:t>
      </w:r>
      <w:r w:rsidR="00E5377C">
        <w:rPr>
          <w:rFonts w:ascii="Trebuchet MS" w:hAnsi="Trebuchet MS"/>
          <w:i/>
          <w:sz w:val="22"/>
          <w:szCs w:val="22"/>
        </w:rPr>
        <w:t>ț</w:t>
      </w:r>
      <w:r w:rsidR="00C840DC" w:rsidRPr="00EC4015">
        <w:rPr>
          <w:rFonts w:ascii="Trebuchet MS" w:hAnsi="Trebuchet MS"/>
          <w:i/>
          <w:sz w:val="22"/>
          <w:szCs w:val="22"/>
        </w:rPr>
        <w:t>ională din 1974 pentru ocrotirea vie</w:t>
      </w:r>
      <w:r w:rsidR="00E5377C">
        <w:rPr>
          <w:rFonts w:ascii="Trebuchet MS" w:hAnsi="Trebuchet MS"/>
          <w:i/>
          <w:sz w:val="22"/>
          <w:szCs w:val="22"/>
        </w:rPr>
        <w:t>ț</w:t>
      </w:r>
      <w:r w:rsidR="00C840DC" w:rsidRPr="00EC4015">
        <w:rPr>
          <w:rFonts w:ascii="Trebuchet MS" w:hAnsi="Trebuchet MS"/>
          <w:i/>
          <w:sz w:val="22"/>
          <w:szCs w:val="22"/>
        </w:rPr>
        <w:t>ii omene</w:t>
      </w:r>
      <w:r w:rsidR="00E5377C">
        <w:rPr>
          <w:rFonts w:ascii="Trebuchet MS" w:hAnsi="Trebuchet MS"/>
          <w:i/>
          <w:sz w:val="22"/>
          <w:szCs w:val="22"/>
        </w:rPr>
        <w:t>ș</w:t>
      </w:r>
      <w:r w:rsidR="00C840DC" w:rsidRPr="00EC4015">
        <w:rPr>
          <w:rFonts w:ascii="Trebuchet MS" w:hAnsi="Trebuchet MS"/>
          <w:i/>
          <w:sz w:val="22"/>
          <w:szCs w:val="22"/>
        </w:rPr>
        <w:t>ti pe mare (Conven</w:t>
      </w:r>
      <w:r w:rsidR="00E5377C">
        <w:rPr>
          <w:rFonts w:ascii="Trebuchet MS" w:hAnsi="Trebuchet MS"/>
          <w:i/>
          <w:sz w:val="22"/>
          <w:szCs w:val="22"/>
        </w:rPr>
        <w:t>ț</w:t>
      </w:r>
      <w:r w:rsidR="00C840DC" w:rsidRPr="00EC4015">
        <w:rPr>
          <w:rFonts w:ascii="Trebuchet MS" w:hAnsi="Trebuchet MS"/>
          <w:i/>
          <w:sz w:val="22"/>
          <w:szCs w:val="22"/>
        </w:rPr>
        <w:t>ia SOLAS 1974)</w:t>
      </w:r>
      <w:r w:rsidR="00C840DC" w:rsidRPr="00EC4015">
        <w:rPr>
          <w:rFonts w:ascii="Trebuchet MS" w:hAnsi="Trebuchet MS"/>
          <w:sz w:val="22"/>
          <w:szCs w:val="22"/>
        </w:rPr>
        <w:t xml:space="preserve">, la care România a aderat prin Decretul nr. 80/1979, </w:t>
      </w:r>
      <w:r w:rsidR="00C840DC" w:rsidRPr="00EC4015">
        <w:rPr>
          <w:rFonts w:ascii="Trebuchet MS" w:eastAsiaTheme="minorEastAsia" w:hAnsi="Trebuchet MS"/>
          <w:i/>
          <w:iCs/>
          <w:sz w:val="22"/>
          <w:szCs w:val="22"/>
          <w:lang w:eastAsia="zh-CN"/>
        </w:rPr>
        <w:t>Codul interna</w:t>
      </w:r>
      <w:r w:rsidR="00D11DAD">
        <w:rPr>
          <w:rFonts w:ascii="Trebuchet MS" w:eastAsiaTheme="minorEastAsia" w:hAnsi="Trebuchet MS"/>
          <w:i/>
          <w:iCs/>
          <w:sz w:val="22"/>
          <w:szCs w:val="22"/>
          <w:lang w:eastAsia="zh-CN"/>
        </w:rPr>
        <w:t>ț</w:t>
      </w:r>
      <w:r w:rsidR="00C840DC" w:rsidRPr="00EC4015">
        <w:rPr>
          <w:rFonts w:ascii="Trebuchet MS" w:eastAsiaTheme="minorEastAsia" w:hAnsi="Trebuchet MS"/>
          <w:i/>
          <w:iCs/>
          <w:sz w:val="22"/>
          <w:szCs w:val="22"/>
          <w:lang w:eastAsia="zh-CN"/>
        </w:rPr>
        <w:t>ional din 2008 privind stabilitatea navei în starea intactă</w:t>
      </w:r>
      <w:r w:rsidR="00C840DC" w:rsidRPr="00EC4015">
        <w:rPr>
          <w:rFonts w:ascii="Trebuchet MS" w:eastAsiaTheme="minorEastAsia" w:hAnsi="Trebuchet MS"/>
          <w:iCs/>
          <w:sz w:val="22"/>
          <w:szCs w:val="22"/>
          <w:lang w:eastAsia="zh-CN"/>
        </w:rPr>
        <w:t>, adoptat de OMI prin Rezolu</w:t>
      </w:r>
      <w:r w:rsidR="00D11DAD">
        <w:rPr>
          <w:rFonts w:ascii="Trebuchet MS" w:eastAsiaTheme="minorEastAsia" w:hAnsi="Trebuchet MS"/>
          <w:iCs/>
          <w:sz w:val="22"/>
          <w:szCs w:val="22"/>
          <w:lang w:eastAsia="zh-CN"/>
        </w:rPr>
        <w:t>ț</w:t>
      </w:r>
      <w:r w:rsidR="00C840DC" w:rsidRPr="00EC4015">
        <w:rPr>
          <w:rFonts w:ascii="Trebuchet MS" w:eastAsiaTheme="minorEastAsia" w:hAnsi="Trebuchet MS"/>
          <w:iCs/>
          <w:sz w:val="22"/>
          <w:szCs w:val="22"/>
          <w:lang w:eastAsia="zh-CN"/>
        </w:rPr>
        <w:t xml:space="preserve">ia MSC.267(85), </w:t>
      </w:r>
      <w:r w:rsidR="00C840DC" w:rsidRPr="00EC4015">
        <w:rPr>
          <w:rFonts w:ascii="Trebuchet MS" w:eastAsiaTheme="minorEastAsia" w:hAnsi="Trebuchet MS"/>
          <w:bCs/>
          <w:iCs/>
          <w:sz w:val="22"/>
          <w:szCs w:val="22"/>
          <w:lang w:eastAsia="zh-CN"/>
        </w:rPr>
        <w:t xml:space="preserve">acceptat și publicat de către Romania prin </w:t>
      </w:r>
      <w:r w:rsidR="00C840DC" w:rsidRPr="00EC4015">
        <w:rPr>
          <w:rFonts w:ascii="Trebuchet MS" w:eastAsiaTheme="minorEastAsia" w:hAnsi="Trebuchet MS"/>
          <w:iCs/>
          <w:sz w:val="22"/>
          <w:szCs w:val="22"/>
          <w:lang w:eastAsia="zh-CN"/>
        </w:rPr>
        <w:t xml:space="preserve">Ordinul ministrului transporturilor </w:t>
      </w:r>
      <w:r w:rsidR="00D11DAD">
        <w:rPr>
          <w:rFonts w:ascii="Trebuchet MS" w:eastAsiaTheme="minorEastAsia" w:hAnsi="Trebuchet MS"/>
          <w:iCs/>
          <w:sz w:val="22"/>
          <w:szCs w:val="22"/>
          <w:lang w:eastAsia="zh-CN"/>
        </w:rPr>
        <w:t>ș</w:t>
      </w:r>
      <w:r w:rsidR="00C840DC" w:rsidRPr="00EC4015">
        <w:rPr>
          <w:rFonts w:ascii="Trebuchet MS" w:eastAsiaTheme="minorEastAsia" w:hAnsi="Trebuchet MS"/>
          <w:iCs/>
          <w:sz w:val="22"/>
          <w:szCs w:val="22"/>
          <w:lang w:eastAsia="zh-CN"/>
        </w:rPr>
        <w:t>i infrastructurii nr. 675/2010, cod obligatoriu în temeiul Conven</w:t>
      </w:r>
      <w:r w:rsidR="00D11DAD">
        <w:rPr>
          <w:rFonts w:ascii="Trebuchet MS" w:eastAsiaTheme="minorEastAsia" w:hAnsi="Trebuchet MS"/>
          <w:iCs/>
          <w:sz w:val="22"/>
          <w:szCs w:val="22"/>
          <w:lang w:eastAsia="zh-CN"/>
        </w:rPr>
        <w:t>ț</w:t>
      </w:r>
      <w:r w:rsidR="00C840DC" w:rsidRPr="00EC4015">
        <w:rPr>
          <w:rFonts w:ascii="Trebuchet MS" w:eastAsiaTheme="minorEastAsia" w:hAnsi="Trebuchet MS"/>
          <w:iCs/>
          <w:sz w:val="22"/>
          <w:szCs w:val="22"/>
          <w:lang w:eastAsia="zh-CN"/>
        </w:rPr>
        <w:t>iei SOLAS 1974.</w:t>
      </w:r>
    </w:p>
    <w:p w14:paraId="7030FD29" w14:textId="05390A15" w:rsidR="006351F8" w:rsidRPr="00EC4015" w:rsidRDefault="006351F8" w:rsidP="00335061">
      <w:pPr>
        <w:autoSpaceDE w:val="0"/>
        <w:autoSpaceDN w:val="0"/>
        <w:adjustRightInd w:val="0"/>
        <w:ind w:firstLine="851"/>
        <w:jc w:val="both"/>
        <w:rPr>
          <w:rFonts w:ascii="Trebuchet MS" w:hAnsi="Trebuchet MS"/>
          <w:bCs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 xml:space="preserve">Codul TDC 2011 a fost </w:t>
      </w:r>
      <w:r w:rsidR="00D11DAD">
        <w:rPr>
          <w:rFonts w:ascii="Trebuchet MS" w:hAnsi="Trebuchet MS"/>
          <w:sz w:val="22"/>
          <w:szCs w:val="22"/>
        </w:rPr>
        <w:t>publicat</w:t>
      </w:r>
      <w:r w:rsidRPr="00EC4015">
        <w:rPr>
          <w:rFonts w:ascii="Trebuchet MS" w:hAnsi="Trebuchet MS"/>
          <w:sz w:val="22"/>
          <w:szCs w:val="22"/>
        </w:rPr>
        <w:t xml:space="preserve"> în </w:t>
      </w:r>
      <w:r w:rsidR="00D11DAD">
        <w:rPr>
          <w:rFonts w:ascii="Trebuchet MS" w:hAnsi="Trebuchet MS"/>
          <w:sz w:val="22"/>
          <w:szCs w:val="22"/>
        </w:rPr>
        <w:t>legislația națională</w:t>
      </w:r>
      <w:r w:rsidRPr="00EC4015">
        <w:rPr>
          <w:rFonts w:ascii="Trebuchet MS" w:hAnsi="Trebuchet MS"/>
          <w:sz w:val="22"/>
          <w:szCs w:val="22"/>
        </w:rPr>
        <w:t xml:space="preserve"> prin Ordinul ministrului transporturilor nr. 1132/2013.</w:t>
      </w:r>
    </w:p>
    <w:p w14:paraId="226CF200" w14:textId="775B9F28" w:rsidR="006351F8" w:rsidRDefault="00EA0D38" w:rsidP="00335061">
      <w:pPr>
        <w:ind w:firstLine="851"/>
        <w:jc w:val="both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lastRenderedPageBreak/>
        <w:t>La cea de-a 102-a sesiune a sa din noiembrie 2020, C</w:t>
      </w:r>
      <w:r w:rsidR="006351F8" w:rsidRPr="00EC4015">
        <w:rPr>
          <w:rFonts w:ascii="Trebuchet MS" w:hAnsi="Trebuchet MS"/>
          <w:bCs/>
          <w:sz w:val="22"/>
          <w:szCs w:val="22"/>
        </w:rPr>
        <w:t>omitetul de siguran</w:t>
      </w:r>
      <w:r w:rsidR="00E5377C">
        <w:rPr>
          <w:rFonts w:ascii="Trebuchet MS" w:hAnsi="Trebuchet MS"/>
          <w:bCs/>
          <w:sz w:val="22"/>
          <w:szCs w:val="22"/>
        </w:rPr>
        <w:t>ț</w:t>
      </w:r>
      <w:r w:rsidR="006351F8" w:rsidRPr="00EC4015">
        <w:rPr>
          <w:rFonts w:ascii="Trebuchet MS" w:hAnsi="Trebuchet MS"/>
          <w:bCs/>
          <w:sz w:val="22"/>
          <w:szCs w:val="22"/>
        </w:rPr>
        <w:t xml:space="preserve">ă maritimă al </w:t>
      </w:r>
      <w:r w:rsidRPr="00EC4015">
        <w:rPr>
          <w:rFonts w:ascii="Trebuchet MS" w:hAnsi="Trebuchet MS"/>
          <w:sz w:val="22"/>
          <w:szCs w:val="22"/>
        </w:rPr>
        <w:t>OMI</w:t>
      </w:r>
      <w:r w:rsidR="0006194D" w:rsidRPr="00EC4015">
        <w:rPr>
          <w:rFonts w:ascii="Trebuchet MS" w:hAnsi="Trebuchet MS"/>
          <w:sz w:val="22"/>
          <w:szCs w:val="22"/>
        </w:rPr>
        <w:t xml:space="preserve"> (MSC)</w:t>
      </w:r>
      <w:r w:rsidR="006351F8" w:rsidRPr="00EC4015">
        <w:rPr>
          <w:rFonts w:ascii="Trebuchet MS" w:hAnsi="Trebuchet MS"/>
          <w:sz w:val="22"/>
          <w:szCs w:val="22"/>
        </w:rPr>
        <w:t xml:space="preserve"> a aprobat amendamente la</w:t>
      </w:r>
      <w:r w:rsidR="00E25F11" w:rsidRPr="00EC4015">
        <w:rPr>
          <w:rFonts w:ascii="Trebuchet MS" w:hAnsi="Trebuchet MS"/>
          <w:b/>
          <w:bCs/>
          <w:sz w:val="22"/>
          <w:szCs w:val="22"/>
        </w:rPr>
        <w:t xml:space="preserve"> </w:t>
      </w:r>
      <w:r w:rsidR="00D14C3D" w:rsidRPr="00EC4015">
        <w:rPr>
          <w:rFonts w:ascii="Trebuchet MS" w:hAnsi="Trebuchet MS"/>
          <w:sz w:val="22"/>
          <w:szCs w:val="22"/>
        </w:rPr>
        <w:t>Codul TDC 2011 (la c</w:t>
      </w:r>
      <w:r w:rsidR="00E25F11" w:rsidRPr="00EC4015">
        <w:rPr>
          <w:rFonts w:ascii="Trebuchet MS" w:hAnsi="Trebuchet MS"/>
          <w:bCs/>
          <w:sz w:val="22"/>
          <w:szCs w:val="22"/>
        </w:rPr>
        <w:t>apitolul 6-</w:t>
      </w:r>
      <w:r w:rsidR="00E25F11" w:rsidRPr="00EC4015">
        <w:rPr>
          <w:rFonts w:ascii="Trebuchet MS" w:hAnsi="Trebuchet MS"/>
          <w:i/>
          <w:sz w:val="22"/>
          <w:szCs w:val="22"/>
        </w:rPr>
        <w:t>Principii alternative de proiectare</w:t>
      </w:r>
      <w:r w:rsidR="00E25F11" w:rsidRPr="00EC4015">
        <w:rPr>
          <w:rFonts w:ascii="Trebuchet MS" w:eastAsia="Arial" w:hAnsi="Trebuchet MS"/>
          <w:sz w:val="22"/>
          <w:szCs w:val="22"/>
        </w:rPr>
        <w:t xml:space="preserve"> din </w:t>
      </w:r>
      <w:r w:rsidR="00E25F11" w:rsidRPr="00EC4015">
        <w:rPr>
          <w:rFonts w:ascii="Trebuchet MS" w:hAnsi="Trebuchet MS"/>
          <w:sz w:val="22"/>
          <w:szCs w:val="22"/>
        </w:rPr>
        <w:t xml:space="preserve">Partea B </w:t>
      </w:r>
      <w:r w:rsidR="00D11DAD">
        <w:rPr>
          <w:rFonts w:ascii="Trebuchet MS" w:hAnsi="Trebuchet MS"/>
          <w:sz w:val="22"/>
          <w:szCs w:val="22"/>
        </w:rPr>
        <w:t>ș</w:t>
      </w:r>
      <w:r w:rsidR="00E25F11" w:rsidRPr="00EC4015">
        <w:rPr>
          <w:rFonts w:ascii="Trebuchet MS" w:hAnsi="Trebuchet MS"/>
          <w:sz w:val="22"/>
          <w:szCs w:val="22"/>
        </w:rPr>
        <w:t>i la Anexa B-</w:t>
      </w:r>
      <w:r w:rsidR="00E25F11" w:rsidRPr="00EC4015">
        <w:rPr>
          <w:rFonts w:ascii="Trebuchet MS" w:hAnsi="Trebuchet MS"/>
          <w:i/>
          <w:sz w:val="22"/>
          <w:szCs w:val="22"/>
        </w:rPr>
        <w:t>Exemple de moduri de stivuire și de amarare</w:t>
      </w:r>
      <w:r w:rsidR="00D14C3D" w:rsidRPr="00EC4015">
        <w:rPr>
          <w:rFonts w:ascii="Trebuchet MS" w:hAnsi="Trebuchet MS"/>
          <w:sz w:val="22"/>
          <w:szCs w:val="22"/>
        </w:rPr>
        <w:t>)</w:t>
      </w:r>
      <w:r w:rsidR="00E25F11" w:rsidRPr="00EC4015">
        <w:rPr>
          <w:rFonts w:ascii="Trebuchet MS" w:hAnsi="Trebuchet MS"/>
          <w:sz w:val="22"/>
          <w:szCs w:val="22"/>
        </w:rPr>
        <w:t xml:space="preserve"> </w:t>
      </w:r>
      <w:r w:rsidR="00A550DB" w:rsidRPr="00EC4015">
        <w:rPr>
          <w:rFonts w:ascii="Trebuchet MS" w:hAnsi="Trebuchet MS"/>
          <w:sz w:val="22"/>
          <w:szCs w:val="22"/>
        </w:rPr>
        <w:t>pe care le-a difuzat prin circulara MSC.1/Circ. 1624 din 7 decembrie 2020.</w:t>
      </w:r>
    </w:p>
    <w:p w14:paraId="36B4C624" w14:textId="77777777" w:rsidR="0058460D" w:rsidRPr="00EC4015" w:rsidRDefault="0058460D" w:rsidP="00335061">
      <w:pPr>
        <w:ind w:firstLine="851"/>
        <w:jc w:val="both"/>
        <w:rPr>
          <w:rFonts w:ascii="Trebuchet MS" w:hAnsi="Trebuchet MS"/>
          <w:b/>
          <w:sz w:val="22"/>
          <w:szCs w:val="22"/>
        </w:rPr>
      </w:pPr>
    </w:p>
    <w:p w14:paraId="488CB740" w14:textId="5F2C50E4" w:rsidR="0006194D" w:rsidRPr="00EC4015" w:rsidRDefault="0006194D" w:rsidP="00335061">
      <w:pPr>
        <w:pStyle w:val="ListParagraph"/>
        <w:ind w:left="0" w:firstLine="851"/>
        <w:jc w:val="both"/>
        <w:rPr>
          <w:rFonts w:ascii="Trebuchet MS" w:hAnsi="Trebuchet MS"/>
          <w:iCs/>
          <w:sz w:val="22"/>
          <w:szCs w:val="22"/>
        </w:rPr>
      </w:pPr>
      <w:r w:rsidRPr="00EC4015">
        <w:rPr>
          <w:rFonts w:ascii="Trebuchet MS" w:hAnsi="Trebuchet MS"/>
          <w:iCs/>
          <w:sz w:val="22"/>
          <w:szCs w:val="22"/>
        </w:rPr>
        <w:t xml:space="preserve">În temeiul prevederilor art. 4 alin. </w:t>
      </w:r>
      <w:bookmarkStart w:id="0" w:name="_Hlk69283842"/>
      <w:r w:rsidRPr="00EC4015">
        <w:rPr>
          <w:rFonts w:ascii="Trebuchet MS" w:hAnsi="Trebuchet MS"/>
          <w:iCs/>
          <w:sz w:val="22"/>
          <w:szCs w:val="22"/>
        </w:rPr>
        <w:t xml:space="preserve">(1) </w:t>
      </w:r>
      <w:bookmarkEnd w:id="0"/>
      <w:r w:rsidRPr="00EC4015">
        <w:rPr>
          <w:rFonts w:ascii="Trebuchet MS" w:hAnsi="Trebuchet MS"/>
          <w:iCs/>
          <w:sz w:val="22"/>
          <w:szCs w:val="22"/>
        </w:rPr>
        <w:t>din Ordonanța Guvernului nr. 42/1997 privind transportul maritim și pe căile navigabile interioare, republicată, cu modificările și completările ulterioare, precum și ale</w:t>
      </w:r>
      <w:r w:rsidR="00BC291C" w:rsidRPr="00EC4015">
        <w:rPr>
          <w:rFonts w:ascii="Trebuchet MS" w:hAnsi="Trebuchet MS"/>
          <w:iCs/>
          <w:sz w:val="22"/>
          <w:szCs w:val="22"/>
        </w:rPr>
        <w:t xml:space="preserve"> </w:t>
      </w:r>
      <w:r w:rsidRPr="00EC4015">
        <w:rPr>
          <w:rFonts w:ascii="Trebuchet MS" w:hAnsi="Trebuchet MS"/>
          <w:sz w:val="22"/>
          <w:szCs w:val="22"/>
        </w:rPr>
        <w:t xml:space="preserve">art. 9 alin. </w:t>
      </w:r>
      <w:r w:rsidR="00304299" w:rsidRPr="00EC4015">
        <w:rPr>
          <w:rFonts w:ascii="Trebuchet MS" w:hAnsi="Trebuchet MS"/>
          <w:sz w:val="22"/>
          <w:szCs w:val="22"/>
        </w:rPr>
        <w:t xml:space="preserve">(4) </w:t>
      </w:r>
      <w:r w:rsidRPr="00EC4015">
        <w:rPr>
          <w:rFonts w:ascii="Trebuchet MS" w:hAnsi="Trebuchet MS"/>
          <w:sz w:val="22"/>
          <w:szCs w:val="22"/>
        </w:rPr>
        <w:t>din Hotărârea Guvernului nr. 370/2021, Ministerului Transporturilor și Infrastructurii, în calitatea sa de</w:t>
      </w:r>
      <w:r w:rsidRPr="00EC4015">
        <w:rPr>
          <w:rStyle w:val="l5def3"/>
          <w:rFonts w:ascii="Trebuchet MS" w:hAnsi="Trebuchet MS" w:cs="Times New Roman"/>
          <w:sz w:val="22"/>
          <w:szCs w:val="22"/>
        </w:rPr>
        <w:t xml:space="preserve"> autoritate de stat în domeniul transportului maritim</w:t>
      </w:r>
      <w:r w:rsidR="00B405D3" w:rsidRPr="00EC4015">
        <w:rPr>
          <w:rFonts w:ascii="Trebuchet MS" w:hAnsi="Trebuchet MS"/>
          <w:sz w:val="22"/>
          <w:szCs w:val="22"/>
        </w:rPr>
        <w:t xml:space="preserve">, 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 xml:space="preserve">elaborează 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ș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 xml:space="preserve">i promovează acte normative 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ș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>i norme specifice aplicabile transportului maritim, urmăre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ș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 xml:space="preserve">te aplicarea acestora 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ș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>i asigură ducerea la îndeplinire a obliga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ț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 xml:space="preserve">iilor ce revin statului din acordurile 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ș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>i conven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ț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>iile interna</w:t>
      </w:r>
      <w:r w:rsidR="00E5377C">
        <w:rPr>
          <w:rStyle w:val="l5def3"/>
          <w:rFonts w:ascii="Trebuchet MS" w:hAnsi="Trebuchet MS" w:cs="Times New Roman"/>
          <w:sz w:val="22"/>
          <w:szCs w:val="22"/>
        </w:rPr>
        <w:t>ț</w:t>
      </w:r>
      <w:r w:rsidR="008E2D6F" w:rsidRPr="00EC4015">
        <w:rPr>
          <w:rStyle w:val="l5def3"/>
          <w:rFonts w:ascii="Trebuchet MS" w:hAnsi="Trebuchet MS" w:cs="Times New Roman"/>
          <w:sz w:val="22"/>
          <w:szCs w:val="22"/>
        </w:rPr>
        <w:t>ionale la care România este parte.</w:t>
      </w:r>
    </w:p>
    <w:p w14:paraId="595EF681" w14:textId="3EA8DFF5" w:rsidR="00617933" w:rsidRPr="00EC4015" w:rsidRDefault="00617933" w:rsidP="00335061">
      <w:pPr>
        <w:ind w:firstLine="851"/>
        <w:jc w:val="both"/>
        <w:rPr>
          <w:rFonts w:ascii="Trebuchet MS" w:hAnsi="Trebuchet MS"/>
          <w:bCs/>
          <w:sz w:val="22"/>
          <w:szCs w:val="22"/>
        </w:rPr>
      </w:pPr>
      <w:r w:rsidRPr="00EC4015">
        <w:rPr>
          <w:rFonts w:ascii="Trebuchet MS" w:hAnsi="Trebuchet MS"/>
          <w:bCs/>
          <w:sz w:val="22"/>
          <w:szCs w:val="22"/>
        </w:rPr>
        <w:t xml:space="preserve">Având în vedere cele de mai sus, am elaborat alăturatul proiect de </w:t>
      </w:r>
      <w:r w:rsidR="00BC291C" w:rsidRPr="00EC4015">
        <w:rPr>
          <w:rFonts w:ascii="Trebuchet MS" w:hAnsi="Trebuchet MS"/>
          <w:i/>
          <w:sz w:val="22"/>
          <w:szCs w:val="22"/>
        </w:rPr>
        <w:t xml:space="preserve">Ordin al ministrului transporturilor și infrastructurii </w:t>
      </w:r>
      <w:r w:rsidR="00670BAC" w:rsidRPr="00EC4015">
        <w:rPr>
          <w:rFonts w:ascii="Trebuchet MS" w:hAnsi="Trebuchet MS"/>
          <w:i/>
          <w:sz w:val="22"/>
          <w:szCs w:val="22"/>
        </w:rPr>
        <w:t xml:space="preserve">pentru </w:t>
      </w:r>
      <w:r w:rsidR="00BC291C" w:rsidRPr="00EC4015">
        <w:rPr>
          <w:rFonts w:ascii="Trebuchet MS" w:hAnsi="Trebuchet MS"/>
          <w:i/>
          <w:sz w:val="22"/>
          <w:szCs w:val="22"/>
        </w:rPr>
        <w:t xml:space="preserve">modificarea </w:t>
      </w:r>
      <w:r w:rsidR="00D11DAD">
        <w:rPr>
          <w:rFonts w:ascii="Trebuchet MS" w:hAnsi="Trebuchet MS"/>
          <w:i/>
          <w:sz w:val="22"/>
          <w:szCs w:val="22"/>
        </w:rPr>
        <w:t>ș</w:t>
      </w:r>
      <w:r w:rsidR="00BC291C" w:rsidRPr="00EC4015">
        <w:rPr>
          <w:rFonts w:ascii="Trebuchet MS" w:hAnsi="Trebuchet MS"/>
          <w:i/>
          <w:sz w:val="22"/>
          <w:szCs w:val="22"/>
        </w:rPr>
        <w:t xml:space="preserve">i completarea Ordinului ministrului transporturilor nr. 1132/2013 </w:t>
      </w:r>
      <w:r w:rsidR="00BC291C" w:rsidRPr="00EC4015">
        <w:rPr>
          <w:rFonts w:ascii="Trebuchet MS" w:hAnsi="Trebuchet MS"/>
          <w:i/>
          <w:sz w:val="22"/>
          <w:szCs w:val="22"/>
          <w:lang w:eastAsia="zh-CN"/>
        </w:rPr>
        <w:t xml:space="preserve">privind aplicarea </w:t>
      </w:r>
      <w:r w:rsidR="00BC291C" w:rsidRPr="00EC4015">
        <w:rPr>
          <w:rFonts w:ascii="Trebuchet MS" w:hAnsi="Trebuchet MS"/>
          <w:i/>
          <w:sz w:val="22"/>
          <w:szCs w:val="22"/>
        </w:rPr>
        <w:t>Codului de reguli practice de siguran</w:t>
      </w:r>
      <w:r w:rsidR="00E5377C">
        <w:rPr>
          <w:rFonts w:ascii="Trebuchet MS" w:hAnsi="Trebuchet MS"/>
          <w:i/>
          <w:sz w:val="22"/>
          <w:szCs w:val="22"/>
        </w:rPr>
        <w:t>ț</w:t>
      </w:r>
      <w:r w:rsidR="00BC291C" w:rsidRPr="00EC4015">
        <w:rPr>
          <w:rFonts w:ascii="Trebuchet MS" w:hAnsi="Trebuchet MS"/>
          <w:i/>
          <w:sz w:val="22"/>
          <w:szCs w:val="22"/>
        </w:rPr>
        <w:t xml:space="preserve">ă din 2011 pentru navele care transportă încărcături de lemn pe punte (Codul TDC 2011), adoptat </w:t>
      </w:r>
      <w:r w:rsidR="00BC291C" w:rsidRPr="00EC4015">
        <w:rPr>
          <w:rFonts w:ascii="Trebuchet MS" w:hAnsi="Trebuchet MS"/>
          <w:i/>
          <w:sz w:val="22"/>
          <w:szCs w:val="22"/>
          <w:lang w:eastAsia="zh-CN"/>
        </w:rPr>
        <w:t>de Adunarea Organiza</w:t>
      </w:r>
      <w:r w:rsidR="00E5377C">
        <w:rPr>
          <w:rFonts w:ascii="Trebuchet MS" w:hAnsi="Trebuchet MS"/>
          <w:i/>
          <w:sz w:val="22"/>
          <w:szCs w:val="22"/>
          <w:lang w:eastAsia="zh-CN"/>
        </w:rPr>
        <w:t>ț</w:t>
      </w:r>
      <w:r w:rsidR="00BC291C" w:rsidRPr="00EC4015">
        <w:rPr>
          <w:rFonts w:ascii="Trebuchet MS" w:hAnsi="Trebuchet MS"/>
          <w:i/>
          <w:sz w:val="22"/>
          <w:szCs w:val="22"/>
          <w:lang w:eastAsia="zh-CN"/>
        </w:rPr>
        <w:t>iei Maritime Interna</w:t>
      </w:r>
      <w:r w:rsidR="00E5377C">
        <w:rPr>
          <w:rFonts w:ascii="Trebuchet MS" w:hAnsi="Trebuchet MS"/>
          <w:i/>
          <w:sz w:val="22"/>
          <w:szCs w:val="22"/>
          <w:lang w:eastAsia="zh-CN"/>
        </w:rPr>
        <w:t>ț</w:t>
      </w:r>
      <w:r w:rsidR="00BC291C" w:rsidRPr="00EC4015">
        <w:rPr>
          <w:rFonts w:ascii="Trebuchet MS" w:hAnsi="Trebuchet MS"/>
          <w:i/>
          <w:sz w:val="22"/>
          <w:szCs w:val="22"/>
          <w:lang w:eastAsia="zh-CN"/>
        </w:rPr>
        <w:t>ionale prin Rezoluția A.1048(27) din 30 noiembrie 2011</w:t>
      </w:r>
      <w:r w:rsidRPr="00EC4015">
        <w:rPr>
          <w:rFonts w:ascii="Trebuchet MS" w:hAnsi="Trebuchet MS"/>
          <w:bCs/>
          <w:i/>
          <w:sz w:val="22"/>
          <w:szCs w:val="22"/>
        </w:rPr>
        <w:t>,</w:t>
      </w:r>
      <w:r w:rsidRPr="00EC4015">
        <w:rPr>
          <w:rFonts w:ascii="Trebuchet MS" w:hAnsi="Trebuchet MS"/>
          <w:bCs/>
          <w:sz w:val="22"/>
          <w:szCs w:val="22"/>
        </w:rPr>
        <w:t xml:space="preserve"> pe care, dacă sunteți de acord, vă rugăm să îl aprobați.</w:t>
      </w:r>
    </w:p>
    <w:p w14:paraId="2B238E0D" w14:textId="77777777" w:rsidR="00617933" w:rsidRPr="00EC4015" w:rsidRDefault="00617933" w:rsidP="004C430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0E0D64BD" w14:textId="77777777" w:rsidR="00BC291C" w:rsidRPr="00EC4015" w:rsidRDefault="00BC291C" w:rsidP="00617933">
      <w:pPr>
        <w:pStyle w:val="Heading2"/>
        <w:rPr>
          <w:rFonts w:ascii="Trebuchet MS" w:hAnsi="Trebuchet MS"/>
          <w:sz w:val="22"/>
          <w:szCs w:val="22"/>
        </w:rPr>
      </w:pPr>
    </w:p>
    <w:p w14:paraId="32DE5C3C" w14:textId="77777777" w:rsidR="00BC291C" w:rsidRDefault="00BC291C" w:rsidP="00617933">
      <w:pPr>
        <w:pStyle w:val="Heading2"/>
        <w:rPr>
          <w:rFonts w:ascii="Trebuchet MS" w:hAnsi="Trebuchet MS"/>
          <w:sz w:val="22"/>
          <w:szCs w:val="22"/>
        </w:rPr>
      </w:pPr>
    </w:p>
    <w:p w14:paraId="16D67571" w14:textId="77777777" w:rsidR="00D11DAD" w:rsidRPr="00D11DAD" w:rsidRDefault="00D11DAD" w:rsidP="00D11DAD"/>
    <w:p w14:paraId="17853EC5" w14:textId="77777777" w:rsidR="00617933" w:rsidRPr="00EC4015" w:rsidRDefault="00617933" w:rsidP="00617933">
      <w:pPr>
        <w:pStyle w:val="Heading2"/>
        <w:rPr>
          <w:rFonts w:ascii="Trebuchet MS" w:hAnsi="Trebuchet MS"/>
          <w:sz w:val="22"/>
          <w:szCs w:val="22"/>
        </w:rPr>
      </w:pPr>
      <w:r w:rsidRPr="00EC4015">
        <w:rPr>
          <w:rFonts w:ascii="Trebuchet MS" w:hAnsi="Trebuchet MS"/>
          <w:sz w:val="22"/>
          <w:szCs w:val="22"/>
        </w:rPr>
        <w:t xml:space="preserve">DIRECTOR </w:t>
      </w:r>
    </w:p>
    <w:p w14:paraId="6DC5BE4A" w14:textId="77777777" w:rsidR="002C426C" w:rsidRPr="00EC4015" w:rsidRDefault="002C426C" w:rsidP="002C426C">
      <w:pPr>
        <w:rPr>
          <w:rFonts w:ascii="Trebuchet MS" w:hAnsi="Trebuchet MS"/>
          <w:sz w:val="22"/>
          <w:szCs w:val="22"/>
        </w:rPr>
      </w:pPr>
    </w:p>
    <w:p w14:paraId="56221BF6" w14:textId="77777777" w:rsidR="005319D8" w:rsidRPr="00EC4015" w:rsidRDefault="00FF6401" w:rsidP="0061793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EC4015">
        <w:rPr>
          <w:rFonts w:ascii="Trebuchet MS" w:hAnsi="Trebuchet MS"/>
          <w:b/>
          <w:bCs/>
          <w:sz w:val="22"/>
          <w:szCs w:val="22"/>
        </w:rPr>
        <w:t>Gabriela MURGEANU</w:t>
      </w:r>
    </w:p>
    <w:sectPr w:rsidR="005319D8" w:rsidRPr="00EC4015" w:rsidSect="00E5377C">
      <w:footerReference w:type="even" r:id="rId9"/>
      <w:footerReference w:type="default" r:id="rId10"/>
      <w:pgSz w:w="11907" w:h="16840" w:code="9"/>
      <w:pgMar w:top="1080" w:right="1287" w:bottom="426" w:left="135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9193" w14:textId="77777777" w:rsidR="00922174" w:rsidRDefault="00922174">
      <w:r>
        <w:separator/>
      </w:r>
    </w:p>
  </w:endnote>
  <w:endnote w:type="continuationSeparator" w:id="0">
    <w:p w14:paraId="0F1BF89C" w14:textId="77777777" w:rsidR="00922174" w:rsidRDefault="0092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11AE" w14:textId="77777777" w:rsidR="00365BC0" w:rsidRDefault="00365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6F509" w14:textId="77777777" w:rsidR="00365BC0" w:rsidRDefault="00365B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4418" w14:textId="77777777" w:rsidR="00365BC0" w:rsidRDefault="00365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5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F21C2" w14:textId="77777777" w:rsidR="00365BC0" w:rsidRDefault="00365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2C62" w14:textId="77777777" w:rsidR="00922174" w:rsidRDefault="00922174">
      <w:r>
        <w:separator/>
      </w:r>
    </w:p>
  </w:footnote>
  <w:footnote w:type="continuationSeparator" w:id="0">
    <w:p w14:paraId="5FF3C505" w14:textId="77777777" w:rsidR="00922174" w:rsidRDefault="0092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B1F"/>
    <w:multiLevelType w:val="hybridMultilevel"/>
    <w:tmpl w:val="6544607C"/>
    <w:lvl w:ilvl="0" w:tplc="235E44A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05639E"/>
    <w:multiLevelType w:val="hybridMultilevel"/>
    <w:tmpl w:val="B470A7CA"/>
    <w:lvl w:ilvl="0" w:tplc="203AA3B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13E29E8"/>
    <w:multiLevelType w:val="hybridMultilevel"/>
    <w:tmpl w:val="C93690BA"/>
    <w:lvl w:ilvl="0" w:tplc="BA8E78E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191B4B"/>
    <w:multiLevelType w:val="hybridMultilevel"/>
    <w:tmpl w:val="0C8CBAC2"/>
    <w:lvl w:ilvl="0" w:tplc="EF3EE2B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25"/>
    <w:rsid w:val="000010B7"/>
    <w:rsid w:val="00002A37"/>
    <w:rsid w:val="00006C1A"/>
    <w:rsid w:val="00014434"/>
    <w:rsid w:val="00020B85"/>
    <w:rsid w:val="00030A38"/>
    <w:rsid w:val="00035223"/>
    <w:rsid w:val="00041415"/>
    <w:rsid w:val="0005318D"/>
    <w:rsid w:val="000540C0"/>
    <w:rsid w:val="0006194D"/>
    <w:rsid w:val="00067C22"/>
    <w:rsid w:val="00071651"/>
    <w:rsid w:val="00086507"/>
    <w:rsid w:val="00092370"/>
    <w:rsid w:val="00096724"/>
    <w:rsid w:val="000A4D0B"/>
    <w:rsid w:val="000A7A2F"/>
    <w:rsid w:val="000B3579"/>
    <w:rsid w:val="000B76EB"/>
    <w:rsid w:val="000C4384"/>
    <w:rsid w:val="000C4693"/>
    <w:rsid w:val="000C53CD"/>
    <w:rsid w:val="000E578E"/>
    <w:rsid w:val="000F5782"/>
    <w:rsid w:val="00123B87"/>
    <w:rsid w:val="00135F68"/>
    <w:rsid w:val="00145932"/>
    <w:rsid w:val="001508A1"/>
    <w:rsid w:val="00151E07"/>
    <w:rsid w:val="00156AF1"/>
    <w:rsid w:val="00164E10"/>
    <w:rsid w:val="00166ACF"/>
    <w:rsid w:val="00170650"/>
    <w:rsid w:val="00186FBF"/>
    <w:rsid w:val="001A375A"/>
    <w:rsid w:val="001A46FC"/>
    <w:rsid w:val="001B31E0"/>
    <w:rsid w:val="001B37FD"/>
    <w:rsid w:val="001B5501"/>
    <w:rsid w:val="001B70D2"/>
    <w:rsid w:val="001E0DC4"/>
    <w:rsid w:val="00205D22"/>
    <w:rsid w:val="00221646"/>
    <w:rsid w:val="00223C6E"/>
    <w:rsid w:val="0025086B"/>
    <w:rsid w:val="0025192E"/>
    <w:rsid w:val="00253E3E"/>
    <w:rsid w:val="00262D0E"/>
    <w:rsid w:val="0027009F"/>
    <w:rsid w:val="0029078F"/>
    <w:rsid w:val="00291A3D"/>
    <w:rsid w:val="00292223"/>
    <w:rsid w:val="0029529E"/>
    <w:rsid w:val="002A5145"/>
    <w:rsid w:val="002B24AE"/>
    <w:rsid w:val="002B6E8A"/>
    <w:rsid w:val="002C3D97"/>
    <w:rsid w:val="002C426C"/>
    <w:rsid w:val="002C4674"/>
    <w:rsid w:val="002C576D"/>
    <w:rsid w:val="002C7830"/>
    <w:rsid w:val="002D030D"/>
    <w:rsid w:val="002D6E1D"/>
    <w:rsid w:val="002E7824"/>
    <w:rsid w:val="0030151A"/>
    <w:rsid w:val="00304299"/>
    <w:rsid w:val="003065FC"/>
    <w:rsid w:val="00327B2F"/>
    <w:rsid w:val="003311D4"/>
    <w:rsid w:val="0033260D"/>
    <w:rsid w:val="00332B9B"/>
    <w:rsid w:val="00335061"/>
    <w:rsid w:val="00340CEC"/>
    <w:rsid w:val="00342281"/>
    <w:rsid w:val="003459AD"/>
    <w:rsid w:val="00352C99"/>
    <w:rsid w:val="00360BBE"/>
    <w:rsid w:val="00365BC0"/>
    <w:rsid w:val="003667A0"/>
    <w:rsid w:val="00370E28"/>
    <w:rsid w:val="0037256E"/>
    <w:rsid w:val="00373609"/>
    <w:rsid w:val="00374702"/>
    <w:rsid w:val="00385DB6"/>
    <w:rsid w:val="00387606"/>
    <w:rsid w:val="003A1EEF"/>
    <w:rsid w:val="003A69CF"/>
    <w:rsid w:val="003B0C55"/>
    <w:rsid w:val="003B30F8"/>
    <w:rsid w:val="003B4B3C"/>
    <w:rsid w:val="003B67AE"/>
    <w:rsid w:val="003C35A9"/>
    <w:rsid w:val="003D32FA"/>
    <w:rsid w:val="003D6528"/>
    <w:rsid w:val="003E12E3"/>
    <w:rsid w:val="003E37F6"/>
    <w:rsid w:val="003E484D"/>
    <w:rsid w:val="003F0C3A"/>
    <w:rsid w:val="003F1A08"/>
    <w:rsid w:val="003F59DB"/>
    <w:rsid w:val="003F7570"/>
    <w:rsid w:val="004001A5"/>
    <w:rsid w:val="0040658A"/>
    <w:rsid w:val="00407E55"/>
    <w:rsid w:val="004222FB"/>
    <w:rsid w:val="0042319E"/>
    <w:rsid w:val="0042403C"/>
    <w:rsid w:val="00432170"/>
    <w:rsid w:val="004452F5"/>
    <w:rsid w:val="00467F44"/>
    <w:rsid w:val="00471474"/>
    <w:rsid w:val="00473774"/>
    <w:rsid w:val="00485084"/>
    <w:rsid w:val="00485C3E"/>
    <w:rsid w:val="00487D04"/>
    <w:rsid w:val="00490F22"/>
    <w:rsid w:val="004B3564"/>
    <w:rsid w:val="004C4308"/>
    <w:rsid w:val="004C5CF5"/>
    <w:rsid w:val="004C6F8A"/>
    <w:rsid w:val="004D1EF6"/>
    <w:rsid w:val="004D2C45"/>
    <w:rsid w:val="004D3F9D"/>
    <w:rsid w:val="004F6D61"/>
    <w:rsid w:val="004F7998"/>
    <w:rsid w:val="00502C93"/>
    <w:rsid w:val="00513020"/>
    <w:rsid w:val="00513C2C"/>
    <w:rsid w:val="005143F2"/>
    <w:rsid w:val="00515752"/>
    <w:rsid w:val="0052076C"/>
    <w:rsid w:val="005241AF"/>
    <w:rsid w:val="005319D8"/>
    <w:rsid w:val="00541027"/>
    <w:rsid w:val="0054295C"/>
    <w:rsid w:val="00546EAB"/>
    <w:rsid w:val="005705E7"/>
    <w:rsid w:val="00571761"/>
    <w:rsid w:val="00582135"/>
    <w:rsid w:val="00584422"/>
    <w:rsid w:val="0058460D"/>
    <w:rsid w:val="00587EF2"/>
    <w:rsid w:val="00594271"/>
    <w:rsid w:val="00595CEB"/>
    <w:rsid w:val="005B2819"/>
    <w:rsid w:val="005B6736"/>
    <w:rsid w:val="005C55AE"/>
    <w:rsid w:val="005C58B1"/>
    <w:rsid w:val="005F0D8F"/>
    <w:rsid w:val="005F306A"/>
    <w:rsid w:val="005F5BCA"/>
    <w:rsid w:val="00612350"/>
    <w:rsid w:val="00613BB0"/>
    <w:rsid w:val="00617933"/>
    <w:rsid w:val="00623B2E"/>
    <w:rsid w:val="00623CEF"/>
    <w:rsid w:val="00624798"/>
    <w:rsid w:val="0063374F"/>
    <w:rsid w:val="00634905"/>
    <w:rsid w:val="006351F8"/>
    <w:rsid w:val="00640BFE"/>
    <w:rsid w:val="006444CD"/>
    <w:rsid w:val="00670BAC"/>
    <w:rsid w:val="00674A9E"/>
    <w:rsid w:val="00675576"/>
    <w:rsid w:val="0068088B"/>
    <w:rsid w:val="0069139A"/>
    <w:rsid w:val="00692295"/>
    <w:rsid w:val="00692FDA"/>
    <w:rsid w:val="00694690"/>
    <w:rsid w:val="00695C76"/>
    <w:rsid w:val="006A1AD4"/>
    <w:rsid w:val="006B00B0"/>
    <w:rsid w:val="006C1B51"/>
    <w:rsid w:val="006D0C64"/>
    <w:rsid w:val="006D4077"/>
    <w:rsid w:val="006D4591"/>
    <w:rsid w:val="006F0A5A"/>
    <w:rsid w:val="006F5722"/>
    <w:rsid w:val="0071065A"/>
    <w:rsid w:val="0071295A"/>
    <w:rsid w:val="00712D8D"/>
    <w:rsid w:val="00715847"/>
    <w:rsid w:val="00727614"/>
    <w:rsid w:val="0073073A"/>
    <w:rsid w:val="00730E11"/>
    <w:rsid w:val="00740065"/>
    <w:rsid w:val="00740E0F"/>
    <w:rsid w:val="00742D8A"/>
    <w:rsid w:val="0075183E"/>
    <w:rsid w:val="0075415F"/>
    <w:rsid w:val="007552C4"/>
    <w:rsid w:val="00755309"/>
    <w:rsid w:val="007622CE"/>
    <w:rsid w:val="00765101"/>
    <w:rsid w:val="007671D5"/>
    <w:rsid w:val="00771443"/>
    <w:rsid w:val="00771D3B"/>
    <w:rsid w:val="00772F8F"/>
    <w:rsid w:val="007750CC"/>
    <w:rsid w:val="0077657F"/>
    <w:rsid w:val="00777A36"/>
    <w:rsid w:val="00782E89"/>
    <w:rsid w:val="00790383"/>
    <w:rsid w:val="00796163"/>
    <w:rsid w:val="007B3C19"/>
    <w:rsid w:val="007C72D8"/>
    <w:rsid w:val="007D4AD3"/>
    <w:rsid w:val="007D4EE1"/>
    <w:rsid w:val="007E0065"/>
    <w:rsid w:val="007E0CCC"/>
    <w:rsid w:val="007E2B45"/>
    <w:rsid w:val="007E606E"/>
    <w:rsid w:val="007F5DD4"/>
    <w:rsid w:val="00811F8E"/>
    <w:rsid w:val="00814CDE"/>
    <w:rsid w:val="008150F4"/>
    <w:rsid w:val="00817561"/>
    <w:rsid w:val="00820F05"/>
    <w:rsid w:val="0082650A"/>
    <w:rsid w:val="008275FB"/>
    <w:rsid w:val="008334DF"/>
    <w:rsid w:val="0084065F"/>
    <w:rsid w:val="008609C4"/>
    <w:rsid w:val="00871C8D"/>
    <w:rsid w:val="008756AE"/>
    <w:rsid w:val="008760F9"/>
    <w:rsid w:val="00876537"/>
    <w:rsid w:val="00883AAD"/>
    <w:rsid w:val="008A7594"/>
    <w:rsid w:val="008B336A"/>
    <w:rsid w:val="008D6EA8"/>
    <w:rsid w:val="008D73E0"/>
    <w:rsid w:val="008E2D6F"/>
    <w:rsid w:val="008E74F5"/>
    <w:rsid w:val="008E7846"/>
    <w:rsid w:val="008F5DE6"/>
    <w:rsid w:val="0090191B"/>
    <w:rsid w:val="00903B75"/>
    <w:rsid w:val="00904D18"/>
    <w:rsid w:val="00913226"/>
    <w:rsid w:val="0092143C"/>
    <w:rsid w:val="00922174"/>
    <w:rsid w:val="009251FE"/>
    <w:rsid w:val="00935397"/>
    <w:rsid w:val="009416E8"/>
    <w:rsid w:val="009429F9"/>
    <w:rsid w:val="00942DBA"/>
    <w:rsid w:val="00945DEA"/>
    <w:rsid w:val="0095633B"/>
    <w:rsid w:val="00960D70"/>
    <w:rsid w:val="00965F76"/>
    <w:rsid w:val="00975AD2"/>
    <w:rsid w:val="00983565"/>
    <w:rsid w:val="00983E77"/>
    <w:rsid w:val="00986D01"/>
    <w:rsid w:val="00987594"/>
    <w:rsid w:val="00993511"/>
    <w:rsid w:val="009961C7"/>
    <w:rsid w:val="009967E6"/>
    <w:rsid w:val="00997AE3"/>
    <w:rsid w:val="009A2E09"/>
    <w:rsid w:val="009A4B90"/>
    <w:rsid w:val="009A60AA"/>
    <w:rsid w:val="009C4A4A"/>
    <w:rsid w:val="009F2B08"/>
    <w:rsid w:val="00A20CFA"/>
    <w:rsid w:val="00A40C00"/>
    <w:rsid w:val="00A44165"/>
    <w:rsid w:val="00A52B14"/>
    <w:rsid w:val="00A550DB"/>
    <w:rsid w:val="00A56699"/>
    <w:rsid w:val="00A72016"/>
    <w:rsid w:val="00A956CC"/>
    <w:rsid w:val="00AB1B1F"/>
    <w:rsid w:val="00AB702A"/>
    <w:rsid w:val="00AC09C7"/>
    <w:rsid w:val="00AC2C19"/>
    <w:rsid w:val="00AD723B"/>
    <w:rsid w:val="00AD74C8"/>
    <w:rsid w:val="00AE3F39"/>
    <w:rsid w:val="00AE6FB4"/>
    <w:rsid w:val="00AF43B5"/>
    <w:rsid w:val="00B03EB5"/>
    <w:rsid w:val="00B057F8"/>
    <w:rsid w:val="00B11B78"/>
    <w:rsid w:val="00B11C07"/>
    <w:rsid w:val="00B13ADF"/>
    <w:rsid w:val="00B17B12"/>
    <w:rsid w:val="00B20F3F"/>
    <w:rsid w:val="00B213E0"/>
    <w:rsid w:val="00B30D6E"/>
    <w:rsid w:val="00B32690"/>
    <w:rsid w:val="00B349B9"/>
    <w:rsid w:val="00B405D3"/>
    <w:rsid w:val="00B419B6"/>
    <w:rsid w:val="00B4565A"/>
    <w:rsid w:val="00B47291"/>
    <w:rsid w:val="00B53653"/>
    <w:rsid w:val="00B61660"/>
    <w:rsid w:val="00B6555A"/>
    <w:rsid w:val="00B65C5C"/>
    <w:rsid w:val="00B67304"/>
    <w:rsid w:val="00B70838"/>
    <w:rsid w:val="00B77E2D"/>
    <w:rsid w:val="00B86045"/>
    <w:rsid w:val="00B8605D"/>
    <w:rsid w:val="00B87586"/>
    <w:rsid w:val="00B94978"/>
    <w:rsid w:val="00BC291C"/>
    <w:rsid w:val="00BC596E"/>
    <w:rsid w:val="00BD1AA6"/>
    <w:rsid w:val="00BE499D"/>
    <w:rsid w:val="00BF2E14"/>
    <w:rsid w:val="00C10F73"/>
    <w:rsid w:val="00C22C02"/>
    <w:rsid w:val="00C27EDE"/>
    <w:rsid w:val="00C33240"/>
    <w:rsid w:val="00C35687"/>
    <w:rsid w:val="00C519F2"/>
    <w:rsid w:val="00C52D68"/>
    <w:rsid w:val="00C61098"/>
    <w:rsid w:val="00C64E46"/>
    <w:rsid w:val="00C73440"/>
    <w:rsid w:val="00C76CC9"/>
    <w:rsid w:val="00C840DC"/>
    <w:rsid w:val="00C864B9"/>
    <w:rsid w:val="00C923C1"/>
    <w:rsid w:val="00C924E7"/>
    <w:rsid w:val="00CA692E"/>
    <w:rsid w:val="00CB4212"/>
    <w:rsid w:val="00CC1F0F"/>
    <w:rsid w:val="00CC348B"/>
    <w:rsid w:val="00CC635A"/>
    <w:rsid w:val="00CD054E"/>
    <w:rsid w:val="00CD438B"/>
    <w:rsid w:val="00CD4A2B"/>
    <w:rsid w:val="00CD604F"/>
    <w:rsid w:val="00CD6D26"/>
    <w:rsid w:val="00CF58B1"/>
    <w:rsid w:val="00CF75F6"/>
    <w:rsid w:val="00D029AB"/>
    <w:rsid w:val="00D03DED"/>
    <w:rsid w:val="00D107E8"/>
    <w:rsid w:val="00D10DA9"/>
    <w:rsid w:val="00D11832"/>
    <w:rsid w:val="00D11DAD"/>
    <w:rsid w:val="00D14C3D"/>
    <w:rsid w:val="00D20F2D"/>
    <w:rsid w:val="00D3340D"/>
    <w:rsid w:val="00D61CA5"/>
    <w:rsid w:val="00D62E13"/>
    <w:rsid w:val="00D77316"/>
    <w:rsid w:val="00D92EA7"/>
    <w:rsid w:val="00D95CA1"/>
    <w:rsid w:val="00DA382C"/>
    <w:rsid w:val="00DC0B9C"/>
    <w:rsid w:val="00DC6C17"/>
    <w:rsid w:val="00DD3507"/>
    <w:rsid w:val="00DD43E3"/>
    <w:rsid w:val="00DE01DE"/>
    <w:rsid w:val="00DE3559"/>
    <w:rsid w:val="00DF7A74"/>
    <w:rsid w:val="00E04276"/>
    <w:rsid w:val="00E05745"/>
    <w:rsid w:val="00E07B79"/>
    <w:rsid w:val="00E119AA"/>
    <w:rsid w:val="00E14C8D"/>
    <w:rsid w:val="00E17E5E"/>
    <w:rsid w:val="00E17F4D"/>
    <w:rsid w:val="00E20FCF"/>
    <w:rsid w:val="00E25F0A"/>
    <w:rsid w:val="00E25F11"/>
    <w:rsid w:val="00E33503"/>
    <w:rsid w:val="00E37262"/>
    <w:rsid w:val="00E4153E"/>
    <w:rsid w:val="00E43A9C"/>
    <w:rsid w:val="00E46B5C"/>
    <w:rsid w:val="00E5377C"/>
    <w:rsid w:val="00E5597D"/>
    <w:rsid w:val="00E6175C"/>
    <w:rsid w:val="00E83B1C"/>
    <w:rsid w:val="00E83C25"/>
    <w:rsid w:val="00E9685B"/>
    <w:rsid w:val="00EA04AA"/>
    <w:rsid w:val="00EA0D38"/>
    <w:rsid w:val="00EC4015"/>
    <w:rsid w:val="00ED1AA5"/>
    <w:rsid w:val="00EE16C6"/>
    <w:rsid w:val="00EE2261"/>
    <w:rsid w:val="00EE290A"/>
    <w:rsid w:val="00EF5C32"/>
    <w:rsid w:val="00EF627B"/>
    <w:rsid w:val="00F001DC"/>
    <w:rsid w:val="00F017BE"/>
    <w:rsid w:val="00F15744"/>
    <w:rsid w:val="00F25F02"/>
    <w:rsid w:val="00F33C82"/>
    <w:rsid w:val="00F34D1D"/>
    <w:rsid w:val="00F34EA4"/>
    <w:rsid w:val="00F3598A"/>
    <w:rsid w:val="00F407E1"/>
    <w:rsid w:val="00F41210"/>
    <w:rsid w:val="00F42443"/>
    <w:rsid w:val="00F42DE5"/>
    <w:rsid w:val="00F64984"/>
    <w:rsid w:val="00F72539"/>
    <w:rsid w:val="00F76A6D"/>
    <w:rsid w:val="00F92272"/>
    <w:rsid w:val="00F94FF0"/>
    <w:rsid w:val="00FA63C2"/>
    <w:rsid w:val="00FA6737"/>
    <w:rsid w:val="00FC7C6C"/>
    <w:rsid w:val="00FD2CD6"/>
    <w:rsid w:val="00FD407C"/>
    <w:rsid w:val="00FE0509"/>
    <w:rsid w:val="00FF05B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4E9D"/>
  <w15:chartTrackingRefBased/>
  <w15:docId w15:val="{3245B403-1F97-48CC-8D19-5B2D593F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C25"/>
    <w:rPr>
      <w:rFonts w:eastAsia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83C25"/>
    <w:pPr>
      <w:keepNext/>
      <w:spacing w:line="360" w:lineRule="auto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E83C25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83C25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83C25"/>
    <w:pPr>
      <w:jc w:val="both"/>
    </w:pPr>
    <w:rPr>
      <w:b/>
      <w:sz w:val="28"/>
      <w:szCs w:val="20"/>
    </w:rPr>
  </w:style>
  <w:style w:type="paragraph" w:styleId="Footer">
    <w:name w:val="footer"/>
    <w:basedOn w:val="Normal"/>
    <w:rsid w:val="00E83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25"/>
  </w:style>
  <w:style w:type="paragraph" w:styleId="BodyTextIndent">
    <w:name w:val="Body Text Indent"/>
    <w:basedOn w:val="Normal"/>
    <w:rsid w:val="00E83C25"/>
    <w:pPr>
      <w:spacing w:after="120"/>
      <w:ind w:left="283"/>
    </w:pPr>
  </w:style>
  <w:style w:type="table" w:styleId="TableGrid">
    <w:name w:val="Table Grid"/>
    <w:basedOn w:val="TableNormal"/>
    <w:rsid w:val="00E83C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452F5"/>
    <w:pPr>
      <w:spacing w:after="120"/>
    </w:pPr>
  </w:style>
  <w:style w:type="paragraph" w:styleId="ListParagraph">
    <w:name w:val="List Paragraph"/>
    <w:basedOn w:val="Normal"/>
    <w:uiPriority w:val="34"/>
    <w:qFormat/>
    <w:rsid w:val="008E7846"/>
    <w:pPr>
      <w:ind w:left="720"/>
      <w:contextualSpacing/>
    </w:pPr>
    <w:rPr>
      <w:lang w:eastAsia="en-US"/>
    </w:rPr>
  </w:style>
  <w:style w:type="paragraph" w:customStyle="1" w:styleId="Default">
    <w:name w:val="Default"/>
    <w:rsid w:val="0061793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rsid w:val="00F2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F02"/>
    <w:rPr>
      <w:rFonts w:ascii="Segoe UI" w:eastAsia="Times New Roman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AB702A"/>
  </w:style>
  <w:style w:type="character" w:customStyle="1" w:styleId="l5ghi">
    <w:name w:val="l5_ghi"/>
    <w:basedOn w:val="DefaultParagraphFont"/>
    <w:rsid w:val="00AB702A"/>
  </w:style>
  <w:style w:type="character" w:customStyle="1" w:styleId="l5ghi0">
    <w:name w:val="l5ghi"/>
    <w:basedOn w:val="DefaultParagraphFont"/>
    <w:rsid w:val="00AB702A"/>
  </w:style>
  <w:style w:type="character" w:customStyle="1" w:styleId="hps">
    <w:name w:val="hps"/>
    <w:basedOn w:val="DefaultParagraphFont"/>
    <w:rsid w:val="006351F8"/>
  </w:style>
  <w:style w:type="character" w:customStyle="1" w:styleId="l5tlu1">
    <w:name w:val="l5tlu1"/>
    <w:basedOn w:val="DefaultParagraphFont"/>
    <w:rsid w:val="00C840DC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06194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06194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06194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6248-19FE-480B-9BC2-44AE7831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    </vt:lpstr>
      <vt:lpstr>    </vt:lpstr>
      <vt:lpstr>    DIRECTOR </vt:lpstr>
    </vt:vector>
  </TitlesOfParts>
  <Company>ANR - DRLA BUCURESTI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bdoncea</dc:creator>
  <cp:keywords/>
  <dc:description/>
  <cp:lastModifiedBy>Mhai Nitulescu</cp:lastModifiedBy>
  <cp:revision>2</cp:revision>
  <cp:lastPrinted>2017-11-08T09:38:00Z</cp:lastPrinted>
  <dcterms:created xsi:type="dcterms:W3CDTF">2021-05-27T06:41:00Z</dcterms:created>
  <dcterms:modified xsi:type="dcterms:W3CDTF">2021-05-27T06:41:00Z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baeb1c4a-475e-4e51-a6bb-55117a013dd9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